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2"/>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7502"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1000" w:lineRule="exact"/>
              <w:ind w:left="2931" w:hanging="3016"/>
              <w:jc w:val="distribute"/>
              <w:textAlignment w:val="auto"/>
              <w:rPr>
                <w:rFonts w:hint="eastAsia" w:ascii="方正小标宋简体" w:hAnsi="方正小标宋简体" w:eastAsia="方正小标宋简体" w:cs="方正小标宋简体"/>
                <w:bCs/>
                <w:color w:val="FF0000"/>
                <w:spacing w:val="0"/>
                <w:w w:val="100"/>
                <w:sz w:val="84"/>
                <w:szCs w:val="84"/>
                <w:u w:val="none"/>
              </w:rPr>
            </w:pPr>
            <w:bookmarkStart w:id="0" w:name="MainBody"/>
            <w:r>
              <w:rPr>
                <w:rFonts w:hint="eastAsia" w:ascii="方正小标宋简体" w:hAnsi="方正小标宋简体" w:eastAsia="方正小标宋简体" w:cs="方正小标宋简体"/>
                <w:bCs/>
                <w:color w:val="FF0000"/>
                <w:spacing w:val="0"/>
                <w:w w:val="100"/>
                <w:sz w:val="84"/>
                <w:szCs w:val="84"/>
                <w:u w:val="none"/>
              </w:rPr>
              <w:t>福建省体育局</w:t>
            </w:r>
          </w:p>
          <w:p>
            <w:pPr>
              <w:keepNext w:val="0"/>
              <w:keepLines w:val="0"/>
              <w:pageBreakBefore w:val="0"/>
              <w:widowControl w:val="0"/>
              <w:kinsoku/>
              <w:wordWrap/>
              <w:overflowPunct/>
              <w:topLinePunct w:val="0"/>
              <w:autoSpaceDE/>
              <w:autoSpaceDN/>
              <w:bidi w:val="0"/>
              <w:adjustRightInd/>
              <w:snapToGrid w:val="0"/>
              <w:spacing w:line="1000" w:lineRule="exact"/>
              <w:ind w:left="2931" w:hanging="3016"/>
              <w:jc w:val="distribute"/>
              <w:textAlignment w:val="auto"/>
              <w:rPr>
                <w:rFonts w:hint="eastAsia" w:ascii="方正小标宋简体" w:hAnsi="方正小标宋简体" w:eastAsia="方正小标宋简体" w:cs="方正小标宋简体"/>
                <w:bCs/>
                <w:color w:val="FF0000"/>
                <w:spacing w:val="-28"/>
                <w:w w:val="90"/>
                <w:sz w:val="56"/>
                <w:szCs w:val="56"/>
                <w:u w:val="none"/>
                <w:lang w:eastAsia="zh-CN"/>
              </w:rPr>
            </w:pPr>
            <w:r>
              <w:rPr>
                <w:rFonts w:hint="eastAsia" w:ascii="方正小标宋简体" w:hAnsi="方正小标宋简体" w:eastAsia="方正小标宋简体" w:cs="方正小标宋简体"/>
                <w:bCs/>
                <w:color w:val="FF0000"/>
                <w:spacing w:val="-28"/>
                <w:w w:val="90"/>
                <w:sz w:val="64"/>
                <w:szCs w:val="64"/>
                <w:u w:val="none"/>
                <w:lang w:eastAsia="zh-CN"/>
              </w:rPr>
              <w:t>福建省人民政府台湾事务办公室</w:t>
            </w:r>
          </w:p>
          <w:p>
            <w:pPr>
              <w:keepNext w:val="0"/>
              <w:keepLines w:val="0"/>
              <w:pageBreakBefore w:val="0"/>
              <w:widowControl w:val="0"/>
              <w:kinsoku/>
              <w:wordWrap/>
              <w:overflowPunct/>
              <w:topLinePunct w:val="0"/>
              <w:autoSpaceDE/>
              <w:autoSpaceDN/>
              <w:bidi w:val="0"/>
              <w:adjustRightInd/>
              <w:snapToGrid w:val="0"/>
              <w:spacing w:line="1000" w:lineRule="exact"/>
              <w:ind w:left="2931" w:hanging="3016"/>
              <w:jc w:val="distribute"/>
              <w:textAlignment w:val="auto"/>
              <w:rPr>
                <w:rFonts w:hint="eastAsia" w:ascii="方正小标宋简体" w:hAnsi="方正小标宋简体" w:eastAsia="方正小标宋简体" w:cs="方正小标宋简体"/>
                <w:bCs/>
                <w:color w:val="FF0000"/>
                <w:spacing w:val="0"/>
                <w:w w:val="100"/>
                <w:sz w:val="84"/>
                <w:szCs w:val="84"/>
                <w:u w:val="none"/>
                <w:lang w:eastAsia="zh-CN"/>
              </w:rPr>
            </w:pPr>
            <w:r>
              <w:rPr>
                <w:rFonts w:hint="eastAsia" w:ascii="方正小标宋简体" w:hAnsi="方正小标宋简体" w:eastAsia="方正小标宋简体" w:cs="方正小标宋简体"/>
                <w:bCs/>
                <w:color w:val="FF0000"/>
                <w:spacing w:val="0"/>
                <w:w w:val="100"/>
                <w:sz w:val="84"/>
                <w:szCs w:val="84"/>
                <w:u w:val="none"/>
                <w:lang w:eastAsia="zh-CN"/>
              </w:rPr>
              <w:t>福建省</w:t>
            </w:r>
            <w:r>
              <w:rPr>
                <w:rFonts w:hint="eastAsia" w:ascii="方正小标宋简体" w:hAnsi="方正小标宋简体" w:eastAsia="方正小标宋简体" w:cs="方正小标宋简体"/>
                <w:bCs/>
                <w:color w:val="FF0000"/>
                <w:spacing w:val="0"/>
                <w:w w:val="100"/>
                <w:sz w:val="84"/>
                <w:szCs w:val="84"/>
                <w:u w:val="none"/>
                <w:lang w:val="en-US" w:eastAsia="zh-CN"/>
              </w:rPr>
              <w:t>教育</w:t>
            </w:r>
            <w:r>
              <w:rPr>
                <w:rFonts w:hint="eastAsia" w:ascii="方正小标宋简体" w:hAnsi="方正小标宋简体" w:eastAsia="方正小标宋简体" w:cs="方正小标宋简体"/>
                <w:bCs/>
                <w:color w:val="FF0000"/>
                <w:spacing w:val="0"/>
                <w:w w:val="100"/>
                <w:sz w:val="84"/>
                <w:szCs w:val="84"/>
                <w:u w:val="none"/>
                <w:lang w:eastAsia="zh-CN"/>
              </w:rPr>
              <w:t>厅</w:t>
            </w:r>
          </w:p>
          <w:p>
            <w:pPr>
              <w:keepNext w:val="0"/>
              <w:keepLines w:val="0"/>
              <w:pageBreakBefore w:val="0"/>
              <w:widowControl w:val="0"/>
              <w:kinsoku/>
              <w:wordWrap/>
              <w:overflowPunct/>
              <w:topLinePunct w:val="0"/>
              <w:autoSpaceDE/>
              <w:autoSpaceDN/>
              <w:bidi w:val="0"/>
              <w:adjustRightInd/>
              <w:snapToGrid w:val="0"/>
              <w:spacing w:line="1000" w:lineRule="exact"/>
              <w:ind w:left="2931" w:hanging="3016"/>
              <w:jc w:val="distribute"/>
              <w:textAlignment w:val="auto"/>
              <w:rPr>
                <w:rFonts w:hint="eastAsia" w:ascii="方正小标宋简体" w:hAnsi="方正小标宋简体" w:eastAsia="方正小标宋简体" w:cs="方正小标宋简体"/>
                <w:bCs/>
                <w:color w:val="FF0000"/>
                <w:w w:val="90"/>
                <w:sz w:val="56"/>
                <w:szCs w:val="56"/>
                <w:u w:val="none"/>
                <w:lang w:eastAsia="zh-CN"/>
              </w:rPr>
            </w:pPr>
            <w:r>
              <w:rPr>
                <w:rFonts w:hint="eastAsia" w:ascii="方正小标宋简体" w:hAnsi="方正小标宋简体" w:eastAsia="方正小标宋简体" w:cs="方正小标宋简体"/>
                <w:bCs/>
                <w:color w:val="FF0000"/>
                <w:spacing w:val="0"/>
                <w:w w:val="100"/>
                <w:sz w:val="84"/>
                <w:szCs w:val="84"/>
                <w:u w:val="none"/>
                <w:lang w:eastAsia="zh-CN"/>
              </w:rPr>
              <w:t>福建省</w:t>
            </w:r>
            <w:r>
              <w:rPr>
                <w:rFonts w:hint="eastAsia" w:ascii="方正小标宋简体" w:hAnsi="方正小标宋简体" w:eastAsia="方正小标宋简体" w:cs="方正小标宋简体"/>
                <w:bCs/>
                <w:color w:val="FF0000"/>
                <w:spacing w:val="0"/>
                <w:w w:val="100"/>
                <w:sz w:val="84"/>
                <w:szCs w:val="84"/>
                <w:u w:val="none"/>
                <w:lang w:val="en-US" w:eastAsia="zh-CN"/>
              </w:rPr>
              <w:t>财政</w:t>
            </w:r>
            <w:r>
              <w:rPr>
                <w:rFonts w:hint="eastAsia" w:ascii="方正小标宋简体" w:hAnsi="方正小标宋简体" w:eastAsia="方正小标宋简体" w:cs="方正小标宋简体"/>
                <w:bCs/>
                <w:color w:val="FF0000"/>
                <w:spacing w:val="0"/>
                <w:w w:val="100"/>
                <w:sz w:val="84"/>
                <w:szCs w:val="84"/>
                <w:u w:val="none"/>
                <w:lang w:eastAsia="zh-CN"/>
              </w:rPr>
              <w:t>厅</w:t>
            </w:r>
          </w:p>
        </w:tc>
        <w:tc>
          <w:tcPr>
            <w:tcW w:w="157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ind w:left="2568" w:hanging="2631"/>
              <w:jc w:val="center"/>
              <w:textAlignment w:val="auto"/>
              <w:rPr>
                <w:rFonts w:hint="eastAsia" w:ascii="方正小标宋简体" w:hAnsi="方正小标宋简体" w:eastAsia="方正小标宋简体" w:cs="方正小标宋简体"/>
                <w:bCs/>
                <w:color w:val="FF0000"/>
                <w:w w:val="80"/>
                <w:sz w:val="84"/>
                <w:szCs w:val="98"/>
                <w:u w:val="none"/>
              </w:rPr>
            </w:pPr>
            <w:r>
              <w:rPr>
                <w:rFonts w:hint="eastAsia" w:ascii="方正小标宋简体" w:hAnsi="方正小标宋简体" w:eastAsia="方正小标宋简体" w:cs="方正小标宋简体"/>
                <w:bCs/>
                <w:color w:val="FF0000"/>
                <w:w w:val="80"/>
                <w:sz w:val="90"/>
                <w:szCs w:val="90"/>
                <w:u w:val="none"/>
              </w:rPr>
              <w:t>文件</w:t>
            </w:r>
          </w:p>
        </w:tc>
      </w:tr>
    </w:tbl>
    <w:p>
      <w:pPr>
        <w:spacing w:line="440" w:lineRule="exact"/>
        <w:jc w:val="center"/>
        <w:rPr>
          <w:rFonts w:hint="default" w:ascii="Times New Roman" w:hAnsi="Times New Roman" w:eastAsia="仿宋_GB2312" w:cs="Times New Roman"/>
          <w:sz w:val="32"/>
          <w:szCs w:val="28"/>
          <w:u w:val="none"/>
        </w:rPr>
      </w:pPr>
    </w:p>
    <w:p>
      <w:pPr>
        <w:spacing w:line="440" w:lineRule="exact"/>
        <w:jc w:val="center"/>
        <w:rPr>
          <w:rFonts w:hint="default" w:ascii="Times New Roman" w:hAnsi="Times New Roman" w:eastAsia="仿宋_GB2312" w:cs="Times New Roman"/>
          <w:sz w:val="32"/>
          <w:szCs w:val="28"/>
          <w:u w:val="none"/>
        </w:rPr>
      </w:pPr>
    </w:p>
    <w:p>
      <w:pPr>
        <w:spacing w:line="600" w:lineRule="exact"/>
        <w:jc w:val="center"/>
        <w:rPr>
          <w:rFonts w:hint="default" w:ascii="Times New Roman" w:hAnsi="Times New Roman" w:eastAsia="仿宋_GB2312" w:cs="Times New Roman"/>
          <w:sz w:val="32"/>
          <w:szCs w:val="48"/>
          <w:u w:val="none"/>
        </w:rPr>
      </w:pPr>
      <w:r>
        <w:rPr>
          <w:rFonts w:hint="default" w:ascii="Times New Roman" w:hAnsi="Times New Roman" w:eastAsia="仿宋_GB2312" w:cs="Times New Roman"/>
          <w:sz w:val="32"/>
          <w:szCs w:val="48"/>
          <w:u w:val="none"/>
        </w:rPr>
        <w:t>闽体</w:t>
      </w:r>
      <w:r>
        <w:rPr>
          <w:rFonts w:hint="eastAsia" w:eastAsia="仿宋_GB2312" w:cs="Times New Roman"/>
          <w:sz w:val="32"/>
          <w:szCs w:val="48"/>
          <w:u w:val="none"/>
          <w:lang w:val="en-US" w:eastAsia="zh-CN"/>
        </w:rPr>
        <w:t>规</w:t>
      </w:r>
      <w:r>
        <w:rPr>
          <w:rFonts w:hint="default" w:ascii="Times New Roman" w:hAnsi="Times New Roman" w:eastAsia="仿宋_GB2312" w:cs="Times New Roman"/>
          <w:sz w:val="32"/>
          <w:szCs w:val="48"/>
          <w:u w:val="none"/>
        </w:rPr>
        <w:t>〔20</w:t>
      </w:r>
      <w:r>
        <w:rPr>
          <w:rFonts w:hint="eastAsia" w:eastAsia="仿宋_GB2312" w:cs="Times New Roman"/>
          <w:sz w:val="32"/>
          <w:szCs w:val="48"/>
          <w:u w:val="none"/>
          <w:lang w:val="en-US" w:eastAsia="zh-CN"/>
        </w:rPr>
        <w:t>24</w:t>
      </w:r>
      <w:r>
        <w:rPr>
          <w:rFonts w:hint="default" w:ascii="Times New Roman" w:hAnsi="Times New Roman" w:eastAsia="仿宋_GB2312" w:cs="Times New Roman"/>
          <w:sz w:val="32"/>
          <w:szCs w:val="48"/>
          <w:u w:val="none"/>
        </w:rPr>
        <w:t>〕</w:t>
      </w:r>
      <w:r>
        <w:rPr>
          <w:rFonts w:hint="eastAsia" w:eastAsia="仿宋_GB2312" w:cs="Times New Roman"/>
          <w:sz w:val="32"/>
          <w:szCs w:val="48"/>
          <w:u w:val="none"/>
          <w:lang w:val="en-US" w:eastAsia="zh-CN"/>
        </w:rPr>
        <w:t>1</w:t>
      </w:r>
      <w:r>
        <w:rPr>
          <w:rFonts w:hint="default" w:ascii="Times New Roman" w:hAnsi="Times New Roman" w:eastAsia="仿宋_GB2312" w:cs="Times New Roman"/>
          <w:sz w:val="32"/>
          <w:szCs w:val="48"/>
          <w:u w:val="none"/>
        </w:rPr>
        <w:t>号</w:t>
      </w:r>
      <w:r>
        <w:rPr>
          <w:rFonts w:hint="default" w:ascii="Times New Roman" w:hAnsi="Times New Roman" w:cs="Times New Roman"/>
          <w:u w:val="none"/>
        </w:rPr>
        <mc:AlternateContent>
          <mc:Choice Requires="wps">
            <w:drawing>
              <wp:anchor distT="0" distB="0" distL="114300" distR="114300" simplePos="0" relativeHeight="251660288" behindDoc="1" locked="0" layoutInCell="1" allowOverlap="1">
                <wp:simplePos x="0" y="0"/>
                <wp:positionH relativeFrom="column">
                  <wp:posOffset>69215</wp:posOffset>
                </wp:positionH>
                <wp:positionV relativeFrom="page">
                  <wp:posOffset>4427220</wp:posOffset>
                </wp:positionV>
                <wp:extent cx="5615940" cy="0"/>
                <wp:effectExtent l="0" t="15875" r="3810" b="22225"/>
                <wp:wrapNone/>
                <wp:docPr id="2" name="DocMarkLine"/>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DocMarkLine" o:spid="_x0000_s1026" o:spt="20" style="position:absolute;left:0pt;margin-left:5.45pt;margin-top:348.6pt;height:0pt;width:442.2pt;mso-position-vertical-relative:page;z-index:-251656192;mso-width-relative:page;mso-height-relative:page;" filled="f" stroked="t" coordsize="21600,21600" o:gfxdata="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Vj9Jb2AAA&#10;AAoBAAAPAAAAAAAAAAEAIAAAACIAAABkcnMvZG93bnJldi54bWxQSwECFAAUAAAACACHTuJAyuMt&#10;WeUBAADtAwAADgAAAAAAAAABACAAAAAnAQAAZHJzL2Uyb0RvYy54bWxQSwUGAAAAAAYABgBZAQAA&#10;fgUAAAAA&#10;">
                <v:fill on="f" focussize="0,0"/>
                <v:stroke weight="2.5pt" color="#FF0000" joinstyle="round"/>
                <v:imagedata o:title=""/>
                <o:lock v:ext="edit" aspectratio="f"/>
              </v:line>
            </w:pict>
          </mc:Fallback>
        </mc:AlternateContent>
      </w:r>
    </w:p>
    <w:p>
      <w:pPr>
        <w:spacing w:line="600" w:lineRule="exact"/>
        <w:jc w:val="center"/>
        <w:rPr>
          <w:rFonts w:hint="default" w:ascii="Times New Roman" w:hAnsi="Times New Roman" w:cs="Times New Roman"/>
          <w:u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w w:val="95"/>
          <w:sz w:val="44"/>
          <w:szCs w:val="52"/>
          <w:u w:val="none"/>
          <w:lang w:val="en-US" w:eastAsia="zh-CN"/>
        </w:rPr>
      </w:pPr>
      <w:r>
        <w:rPr>
          <w:rFonts w:hint="eastAsia" w:ascii="方正小标宋简体" w:hAnsi="方正小标宋简体" w:eastAsia="方正小标宋简体" w:cs="方正小标宋简体"/>
          <w:w w:val="95"/>
          <w:sz w:val="44"/>
          <w:szCs w:val="52"/>
          <w:u w:val="none"/>
          <w:lang w:val="en-US" w:eastAsia="zh-CN"/>
        </w:rPr>
        <w:t>福建省体育局 福建省人民政府台湾事务办公室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w w:val="95"/>
          <w:sz w:val="44"/>
          <w:szCs w:val="52"/>
          <w:u w:val="none"/>
          <w:lang w:val="en-US" w:eastAsia="zh-CN"/>
        </w:rPr>
      </w:pPr>
      <w:r>
        <w:rPr>
          <w:rFonts w:hint="eastAsia" w:ascii="方正小标宋简体" w:hAnsi="方正小标宋简体" w:eastAsia="方正小标宋简体" w:cs="方正小标宋简体"/>
          <w:w w:val="95"/>
          <w:sz w:val="44"/>
          <w:szCs w:val="52"/>
          <w:u w:val="none"/>
          <w:lang w:val="en-US" w:eastAsia="zh-CN"/>
        </w:rPr>
        <w:t>福建省教育厅 福建省财政厅关于印发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w w:val="95"/>
          <w:sz w:val="44"/>
          <w:szCs w:val="52"/>
          <w:u w:val="none"/>
          <w:lang w:val="en-US" w:eastAsia="zh-CN"/>
        </w:rPr>
      </w:pPr>
      <w:r>
        <w:rPr>
          <w:rFonts w:hint="eastAsia" w:ascii="方正小标宋简体" w:hAnsi="方正小标宋简体" w:eastAsia="方正小标宋简体" w:cs="方正小标宋简体"/>
          <w:w w:val="95"/>
          <w:sz w:val="44"/>
          <w:szCs w:val="52"/>
          <w:u w:val="none"/>
          <w:lang w:val="en-US" w:eastAsia="zh-CN"/>
        </w:rPr>
        <w:t>《福建省闽台棒垒球区域发展中心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w w:val="95"/>
          <w:sz w:val="44"/>
          <w:szCs w:val="52"/>
          <w:u w:val="none"/>
          <w:lang w:val="en-US" w:eastAsia="zh-CN"/>
        </w:rPr>
      </w:pPr>
      <w:r>
        <w:rPr>
          <w:rFonts w:hint="eastAsia" w:ascii="方正小标宋简体" w:hAnsi="方正小标宋简体" w:eastAsia="方正小标宋简体" w:cs="方正小标宋简体"/>
          <w:w w:val="95"/>
          <w:sz w:val="44"/>
          <w:szCs w:val="52"/>
          <w:u w:val="none"/>
          <w:lang w:val="en-US" w:eastAsia="zh-CN"/>
        </w:rPr>
        <w:t>创建与管理办法》的通知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方正小标宋简体" w:hAnsi="方正小标宋简体" w:eastAsia="方正小标宋简体" w:cs="方正小标宋简体"/>
          <w:sz w:val="44"/>
          <w:szCs w:val="52"/>
          <w:u w:val="none"/>
          <w:lang w:val="en-US" w:eastAsia="zh-CN"/>
        </w:rPr>
      </w:pPr>
    </w:p>
    <w:p>
      <w:pPr>
        <w:spacing w:line="580" w:lineRule="exact"/>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各设区市体育局、市人民政府台港澳事务办公室、教育局、财政局，平潭综合实验区旅游与文体局、台湾工作部、社会事业局、财政金融局：</w:t>
      </w:r>
    </w:p>
    <w:p>
      <w:pPr>
        <w:spacing w:line="580" w:lineRule="exact"/>
        <w:ind w:firstLine="604"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为贯彻《中共中央 国务院关于支持福建探索海峡两岸融合发展新路 建设两岸融合发展示范区的意见》，落实省委省政府关于深化闽台体育交流的工作部署，创建闽台棒垒球交流服务体系，以此带动棒垒球等青少年特色体育项目合作，经研究，现印发《福建省闽台棒垒球区域发展中心创建与管理办法》，请遵照执行。</w:t>
      </w:r>
    </w:p>
    <w:p>
      <w:pPr>
        <w:spacing w:line="580" w:lineRule="exact"/>
        <w:ind w:firstLine="1812" w:firstLineChars="600"/>
        <w:jc w:val="both"/>
        <w:rPr>
          <w:rFonts w:hint="default" w:ascii="仿宋_GB2312" w:hAnsi="仿宋_GB2312" w:eastAsia="仿宋_GB2312" w:cs="仿宋_GB2312"/>
          <w:sz w:val="32"/>
          <w:szCs w:val="32"/>
          <w:u w:val="none"/>
          <w:lang w:val="en-US" w:eastAsia="zh-CN"/>
        </w:rPr>
      </w:pPr>
    </w:p>
    <w:tbl>
      <w:tblPr>
        <w:tblStyle w:val="9"/>
        <w:tblW w:w="9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6"/>
        <w:gridCol w:w="5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3936" w:type="dxa"/>
            <w:vAlign w:val="center"/>
          </w:tcPr>
          <w:p>
            <w:pPr>
              <w:keepNext w:val="0"/>
              <w:keepLines w:val="0"/>
              <w:pageBreakBefore w:val="0"/>
              <w:widowControl w:val="0"/>
              <w:kinsoku/>
              <w:wordWrap/>
              <w:overflowPunct/>
              <w:topLinePunct w:val="0"/>
              <w:autoSpaceDE/>
              <w:autoSpaceDN/>
              <w:bidi w:val="0"/>
              <w:adjustRightInd/>
              <w:snapToGrid/>
              <w:spacing w:before="167" w:beforeLines="50" w:line="240" w:lineRule="auto"/>
              <w:jc w:val="center"/>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167" w:beforeLines="50" w:line="240" w:lineRule="auto"/>
              <w:jc w:val="center"/>
              <w:textAlignment w:val="auto"/>
              <w:rPr>
                <w:rFonts w:hint="default" w:ascii="仿宋_GB2312" w:hAnsi="仿宋_GB2312" w:eastAsia="仿宋_GB2312" w:cs="仿宋_GB2312"/>
                <w:sz w:val="32"/>
                <w:szCs w:val="32"/>
                <w:u w:val="none"/>
                <w:vertAlign w:val="baseline"/>
                <w:lang w:val="en-US" w:eastAsia="zh-CN"/>
              </w:rPr>
            </w:pPr>
            <w:r>
              <w:rPr>
                <w:rFonts w:hint="default" w:ascii="仿宋_GB2312" w:hAnsi="仿宋_GB2312" w:eastAsia="仿宋_GB2312" w:cs="仿宋_GB2312"/>
                <w:sz w:val="32"/>
                <w:szCs w:val="32"/>
                <w:u w:val="none"/>
                <w:lang w:val="en-US" w:eastAsia="zh-CN"/>
              </w:rPr>
              <w:t>福建省体育局</w:t>
            </w:r>
          </w:p>
        </w:tc>
        <w:tc>
          <w:tcPr>
            <w:tcW w:w="51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福建省人民政府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u w:val="none"/>
                <w:vertAlign w:val="baseline"/>
                <w:lang w:val="en-US" w:eastAsia="zh-CN"/>
              </w:rPr>
            </w:pPr>
            <w:r>
              <w:rPr>
                <w:rFonts w:hint="default" w:ascii="仿宋_GB2312" w:hAnsi="仿宋_GB2312" w:eastAsia="仿宋_GB2312" w:cs="仿宋_GB2312"/>
                <w:sz w:val="32"/>
                <w:szCs w:val="32"/>
                <w:u w:val="none"/>
                <w:lang w:val="en-US" w:eastAsia="zh-CN"/>
              </w:rPr>
              <w:t>台湾事务办公室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4" w:hRule="atLeast"/>
        </w:trPr>
        <w:tc>
          <w:tcPr>
            <w:tcW w:w="39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u w:val="none"/>
                <w:vertAlign w:val="baseline"/>
                <w:lang w:val="en-US" w:eastAsia="zh-CN"/>
              </w:rPr>
            </w:pPr>
            <w:r>
              <w:rPr>
                <w:rFonts w:hint="default" w:ascii="仿宋_GB2312" w:hAnsi="仿宋_GB2312" w:eastAsia="仿宋_GB2312" w:cs="仿宋_GB2312"/>
                <w:sz w:val="32"/>
                <w:szCs w:val="32"/>
                <w:u w:val="none"/>
                <w:lang w:val="en-US" w:eastAsia="zh-CN"/>
              </w:rPr>
              <w:t>福建省教育厅</w:t>
            </w:r>
          </w:p>
        </w:tc>
        <w:tc>
          <w:tcPr>
            <w:tcW w:w="51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_GB2312" w:cs="仿宋_GB2312"/>
                <w:sz w:val="32"/>
                <w:szCs w:val="32"/>
                <w:u w:val="none"/>
                <w:lang w:val="en-US" w:eastAsia="zh-CN"/>
              </w:rPr>
            </w:pPr>
            <w:r>
              <w:rPr>
                <w:rFonts w:hint="default" w:ascii="仿宋" w:hAnsi="仿宋" w:eastAsia="仿宋_GB2312" w:cs="仿宋_GB2312"/>
                <w:sz w:val="32"/>
                <w:szCs w:val="32"/>
                <w:u w:val="none"/>
                <w:lang w:val="en-US" w:eastAsia="zh-CN"/>
              </w:rPr>
              <w:t>福建省财政厅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u w:val="none"/>
                <w:lang w:val="en-US" w:eastAsia="zh-CN"/>
              </w:rPr>
            </w:pPr>
            <w:r>
              <w:rPr>
                <w:rFonts w:hint="eastAsia" w:ascii="仿宋" w:hAnsi="仿宋" w:eastAsia="仿宋_GB2312" w:cs="仿宋_GB2312"/>
                <w:sz w:val="32"/>
                <w:szCs w:val="32"/>
                <w:u w:val="none"/>
                <w:lang w:val="en-US" w:eastAsia="zh-CN"/>
              </w:rPr>
              <w:t>2024年1月8日</w:t>
            </w:r>
          </w:p>
        </w:tc>
      </w:tr>
    </w:tbl>
    <w:p>
      <w:pPr>
        <w:spacing w:line="580" w:lineRule="exact"/>
        <w:jc w:val="both"/>
        <w:rPr>
          <w:rFonts w:hint="default" w:ascii="仿宋_GB2312" w:hAnsi="仿宋_GB2312" w:eastAsia="仿宋_GB2312" w:cs="仿宋_GB2312"/>
          <w:sz w:val="32"/>
          <w:szCs w:val="32"/>
          <w:u w:val="none"/>
          <w:lang w:val="en-US" w:eastAsia="zh-CN"/>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p>
    <w:p>
      <w:pPr>
        <w:spacing w:line="600" w:lineRule="exact"/>
        <w:ind w:firstLine="302" w:firstLineChars="100"/>
        <w:jc w:val="left"/>
        <w:rPr>
          <w:rFonts w:hint="eastAsia" w:ascii="仿宋_GB2312" w:hAnsi="仿宋" w:eastAsia="仿宋_GB2312" w:cs="仿宋_GB2312"/>
          <w:sz w:val="32"/>
          <w:szCs w:val="32"/>
          <w:u w:val="none"/>
        </w:rPr>
      </w:pPr>
      <w:r>
        <w:rPr>
          <w:rFonts w:hint="eastAsia" w:ascii="仿宋_GB2312" w:hAnsi="仿宋" w:eastAsia="仿宋_GB2312" w:cs="仿宋_GB2312"/>
          <w:sz w:val="32"/>
          <w:szCs w:val="32"/>
          <w:u w:val="none"/>
        </w:rPr>
        <w:t>（此件</w:t>
      </w:r>
      <w:r>
        <w:rPr>
          <w:rFonts w:hint="eastAsia" w:ascii="仿宋_GB2312" w:hAnsi="仿宋" w:eastAsia="仿宋_GB2312" w:cs="仿宋_GB2312"/>
          <w:sz w:val="32"/>
          <w:szCs w:val="32"/>
          <w:u w:val="none"/>
          <w:lang w:val="en-US" w:eastAsia="zh-CN"/>
        </w:rPr>
        <w:t>主动</w:t>
      </w:r>
      <w:r>
        <w:rPr>
          <w:rFonts w:hint="eastAsia" w:ascii="仿宋_GB2312" w:hAnsi="仿宋" w:eastAsia="仿宋_GB2312" w:cs="仿宋_GB2312"/>
          <w:sz w:val="32"/>
          <w:szCs w:val="32"/>
          <w:u w:val="none"/>
        </w:rPr>
        <w:t>公开）</w:t>
      </w:r>
    </w:p>
    <w:p>
      <w:pPr>
        <w:spacing w:line="600" w:lineRule="exact"/>
        <w:jc w:val="left"/>
        <w:rPr>
          <w:rFonts w:hint="eastAsia" w:ascii="仿宋_GB2312" w:hAnsi="仿宋" w:eastAsia="仿宋_GB2312" w:cs="仿宋_GB2312"/>
          <w:sz w:val="32"/>
          <w:szCs w:val="32"/>
          <w:u w:val="none"/>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firstLine="262" w:firstLineChars="100"/>
        <w:jc w:val="left"/>
        <w:textAlignment w:val="auto"/>
        <w:rPr>
          <w:rFonts w:hint="eastAsia" w:ascii="Times New Roman" w:hAnsi="Times New Roman" w:eastAsia="仿宋_GB2312" w:cs="Times New Roman"/>
          <w:sz w:val="28"/>
          <w:szCs w:val="28"/>
          <w:u w:val="none"/>
          <w:lang w:eastAsia="zh-CN"/>
        </w:rPr>
      </w:pPr>
      <w:r>
        <w:rPr>
          <w:rFonts w:hint="default" w:ascii="仿宋" w:hAnsi="仿宋" w:eastAsia="仿宋_GB2312" w:cs="Times New Roman"/>
          <w:sz w:val="28"/>
          <w:szCs w:val="28"/>
          <w:u w:val="none"/>
        </w:rPr>
        <w:t>福建省体育局</w:t>
      </w:r>
      <w:r>
        <w:rPr>
          <w:rFonts w:hint="eastAsia" w:ascii="仿宋" w:hAnsi="仿宋" w:eastAsia="仿宋_GB2312" w:cs="Times New Roman"/>
          <w:sz w:val="28"/>
          <w:szCs w:val="28"/>
          <w:u w:val="none"/>
          <w:lang w:eastAsia="zh-CN"/>
        </w:rPr>
        <w:t>办公室</w:t>
      </w:r>
      <w:r>
        <w:rPr>
          <w:rFonts w:hint="default" w:ascii="仿宋" w:hAnsi="仿宋" w:eastAsia="仿宋_GB2312" w:cs="Times New Roman"/>
          <w:sz w:val="28"/>
          <w:szCs w:val="28"/>
          <w:u w:val="none"/>
        </w:rPr>
        <w:t xml:space="preserve">       </w:t>
      </w:r>
      <w:r>
        <w:rPr>
          <w:rFonts w:hint="eastAsia" w:ascii="仿宋" w:hAnsi="仿宋" w:eastAsia="仿宋_GB2312" w:cs="Times New Roman"/>
          <w:sz w:val="28"/>
          <w:szCs w:val="28"/>
          <w:u w:val="none"/>
          <w:lang w:val="en-US" w:eastAsia="zh-CN"/>
        </w:rPr>
        <w:t xml:space="preserve">   </w:t>
      </w:r>
      <w:r>
        <w:rPr>
          <w:rFonts w:hint="default" w:ascii="仿宋" w:hAnsi="仿宋" w:eastAsia="仿宋_GB2312" w:cs="Times New Roman"/>
          <w:sz w:val="28"/>
          <w:szCs w:val="28"/>
          <w:u w:val="none"/>
        </w:rPr>
        <w:t xml:space="preserve"> </w:t>
      </w:r>
      <w:r>
        <w:rPr>
          <w:rFonts w:hint="eastAsia" w:ascii="仿宋" w:hAnsi="仿宋" w:eastAsia="仿宋_GB2312" w:cs="Times New Roman"/>
          <w:sz w:val="28"/>
          <w:szCs w:val="28"/>
          <w:u w:val="none"/>
          <w:lang w:val="en-US" w:eastAsia="zh-CN"/>
        </w:rPr>
        <w:t xml:space="preserve">  </w:t>
      </w:r>
      <w:r>
        <w:rPr>
          <w:rFonts w:hint="default" w:ascii="仿宋" w:hAnsi="仿宋" w:eastAsia="仿宋_GB2312" w:cs="Times New Roman"/>
          <w:sz w:val="28"/>
          <w:szCs w:val="28"/>
          <w:u w:val="none"/>
        </w:rPr>
        <w:t xml:space="preserve">    </w:t>
      </w:r>
      <w:r>
        <w:rPr>
          <w:rFonts w:hint="eastAsia" w:ascii="仿宋" w:hAnsi="仿宋" w:eastAsia="仿宋_GB2312" w:cs="Times New Roman"/>
          <w:sz w:val="28"/>
          <w:szCs w:val="28"/>
          <w:u w:val="none"/>
          <w:lang w:val="en-US" w:eastAsia="zh-CN"/>
        </w:rPr>
        <w:t xml:space="preserve"> </w:t>
      </w:r>
      <w:r>
        <w:rPr>
          <w:rFonts w:hint="default" w:ascii="仿宋" w:hAnsi="仿宋" w:eastAsia="仿宋_GB2312" w:cs="Times New Roman"/>
          <w:sz w:val="28"/>
          <w:szCs w:val="28"/>
          <w:u w:val="none"/>
        </w:rPr>
        <w:t xml:space="preserve">  </w:t>
      </w:r>
      <w:r>
        <w:rPr>
          <w:rFonts w:hint="eastAsia" w:ascii="仿宋" w:hAnsi="仿宋" w:eastAsia="仿宋_GB2312" w:cs="Times New Roman"/>
          <w:sz w:val="28"/>
          <w:szCs w:val="28"/>
          <w:u w:val="none"/>
          <w:lang w:val="en-US" w:eastAsia="zh-CN"/>
        </w:rPr>
        <w:t xml:space="preserve">   </w:t>
      </w:r>
      <w:r>
        <w:rPr>
          <w:rFonts w:hint="default" w:ascii="仿宋" w:hAnsi="仿宋" w:eastAsia="仿宋_GB2312" w:cs="Times New Roman"/>
          <w:sz w:val="28"/>
          <w:szCs w:val="28"/>
          <w:u w:val="none"/>
        </w:rPr>
        <w:t xml:space="preserve">    20</w:t>
      </w:r>
      <w:r>
        <w:rPr>
          <w:rFonts w:hint="eastAsia" w:ascii="仿宋" w:hAnsi="仿宋" w:eastAsia="仿宋_GB2312" w:cs="Times New Roman"/>
          <w:sz w:val="28"/>
          <w:szCs w:val="28"/>
          <w:u w:val="none"/>
          <w:lang w:val="en-US" w:eastAsia="zh-CN"/>
        </w:rPr>
        <w:t>24</w:t>
      </w:r>
      <w:r>
        <w:rPr>
          <w:rFonts w:hint="default" w:ascii="仿宋" w:hAnsi="仿宋" w:eastAsia="仿宋_GB2312" w:cs="Times New Roman"/>
          <w:sz w:val="28"/>
          <w:szCs w:val="28"/>
          <w:u w:val="none"/>
        </w:rPr>
        <w:t>年</w:t>
      </w:r>
      <w:r>
        <w:rPr>
          <w:rFonts w:hint="eastAsia" w:ascii="仿宋" w:hAnsi="仿宋" w:eastAsia="仿宋_GB2312" w:cs="Times New Roman"/>
          <w:sz w:val="28"/>
          <w:szCs w:val="28"/>
          <w:u w:val="none"/>
          <w:lang w:val="en-US" w:eastAsia="zh-CN"/>
        </w:rPr>
        <w:t>1</w:t>
      </w:r>
      <w:r>
        <w:rPr>
          <w:rFonts w:hint="default" w:ascii="仿宋" w:hAnsi="仿宋" w:eastAsia="仿宋_GB2312" w:cs="Times New Roman"/>
          <w:sz w:val="28"/>
          <w:szCs w:val="28"/>
          <w:u w:val="none"/>
        </w:rPr>
        <w:t>月</w:t>
      </w:r>
      <w:r>
        <w:rPr>
          <w:rFonts w:hint="eastAsia" w:ascii="仿宋" w:hAnsi="仿宋" w:eastAsia="仿宋_GB2312" w:cs="Times New Roman"/>
          <w:sz w:val="28"/>
          <w:szCs w:val="28"/>
          <w:u w:val="none"/>
          <w:lang w:val="en-US" w:eastAsia="zh-CN"/>
        </w:rPr>
        <w:t>8</w:t>
      </w:r>
      <w:r>
        <w:rPr>
          <w:rFonts w:hint="default" w:ascii="仿宋" w:hAnsi="仿宋" w:eastAsia="仿宋_GB2312" w:cs="Times New Roman"/>
          <w:sz w:val="28"/>
          <w:szCs w:val="28"/>
          <w:u w:val="none"/>
        </w:rPr>
        <w:t>日印发</w:t>
      </w:r>
      <w:r>
        <w:rPr>
          <w:rFonts w:hint="eastAsia" w:ascii="仿宋" w:hAnsi="仿宋" w:eastAsia="仿宋_GB2312" w:cs="Times New Roman"/>
          <w:sz w:val="28"/>
          <w:szCs w:val="28"/>
          <w:u w:val="none"/>
          <w:lang w:eastAsia="zh-CN"/>
        </w:rPr>
        <w:t>　</w:t>
      </w:r>
    </w:p>
    <w:p>
      <w:pP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br w:type="page"/>
      </w:r>
    </w:p>
    <w:p>
      <w:pPr>
        <w:spacing w:line="60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福建省闽台棒垒球区域发展中心</w:t>
      </w:r>
    </w:p>
    <w:p>
      <w:pPr>
        <w:spacing w:line="600" w:lineRule="exact"/>
        <w:jc w:val="center"/>
        <w:rPr>
          <w:rFonts w:ascii="楷体_GB2312" w:hAnsi="楷体_GB2312" w:eastAsia="楷体_GB2312" w:cs="楷体_GB2312"/>
          <w:sz w:val="32"/>
          <w:szCs w:val="32"/>
          <w:u w:val="none"/>
        </w:rPr>
      </w:pPr>
      <w:r>
        <w:rPr>
          <w:rFonts w:hint="eastAsia" w:ascii="方正小标宋简体" w:hAnsi="方正小标宋简体" w:eastAsia="方正小标宋简体" w:cs="方正小标宋简体"/>
          <w:sz w:val="44"/>
          <w:szCs w:val="44"/>
          <w:u w:val="none"/>
        </w:rPr>
        <w:t>创建与管理办法</w:t>
      </w:r>
    </w:p>
    <w:p>
      <w:pPr>
        <w:spacing w:line="600" w:lineRule="exact"/>
        <w:ind w:firstLine="604" w:firstLineChars="200"/>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ascii="黑体" w:hAnsi="黑体" w:eastAsia="黑体" w:cs="黑体"/>
          <w:sz w:val="32"/>
          <w:szCs w:val="32"/>
          <w:u w:val="none"/>
        </w:rPr>
      </w:pPr>
      <w:r>
        <w:rPr>
          <w:rFonts w:hint="eastAsia" w:ascii="黑体" w:hAnsi="黑体" w:eastAsia="黑体" w:cs="黑体"/>
          <w:sz w:val="32"/>
          <w:szCs w:val="32"/>
          <w:u w:val="none"/>
        </w:rPr>
        <w:t>第一章</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总</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第一条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为进一步贯彻《中共中央</w:t>
      </w:r>
      <w:r>
        <w:rPr>
          <w:rFonts w:hint="eastAsia" w:ascii="仿宋" w:hAnsi="仿宋" w:eastAsia="仿宋_GB2312" w:cs="仿宋_GB2312"/>
          <w:sz w:val="32"/>
          <w:szCs w:val="32"/>
          <w:u w:val="none"/>
          <w:lang w:val="en-US" w:eastAsia="zh-CN"/>
        </w:rPr>
        <w:t xml:space="preserve"> </w:t>
      </w:r>
      <w:r>
        <w:rPr>
          <w:rFonts w:hint="eastAsia" w:ascii="仿宋" w:hAnsi="仿宋" w:eastAsia="仿宋_GB2312" w:cs="仿宋_GB2312"/>
          <w:sz w:val="32"/>
          <w:szCs w:val="32"/>
          <w:u w:val="none"/>
        </w:rPr>
        <w:t>国务院关于支持福建探索海峡两岸融合发展新路 建设两岸融合发展示范区的意见》，落实省委省政府关于深化闽台体育交流的工作部署，创建闽台棒垒球交流服务体系，以此带动棒垒球等青少年特色体育项目合作，为建设两岸融合发展示范区贡献体育力量，结合我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第二条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在全省范围内建设“1+</w:t>
      </w:r>
      <w:r>
        <w:rPr>
          <w:rFonts w:hint="eastAsia" w:ascii="仿宋" w:hAnsi="仿宋" w:eastAsia="仿宋_GB2312" w:cs="仿宋_GB2312"/>
          <w:sz w:val="32"/>
          <w:szCs w:val="32"/>
          <w:u w:val="none"/>
          <w:lang w:val="en-US" w:eastAsia="zh-CN"/>
        </w:rPr>
        <w:t>4</w:t>
      </w:r>
      <w:r>
        <w:rPr>
          <w:rFonts w:hint="eastAsia" w:ascii="仿宋" w:hAnsi="仿宋" w:eastAsia="仿宋_GB2312" w:cs="仿宋_GB2312"/>
          <w:sz w:val="32"/>
          <w:szCs w:val="32"/>
          <w:u w:val="none"/>
        </w:rPr>
        <w:t>+</w:t>
      </w:r>
      <w:r>
        <w:rPr>
          <w:rFonts w:hint="eastAsia" w:ascii="仿宋" w:hAnsi="仿宋" w:eastAsia="仿宋_GB2312" w:cs="仿宋_GB2312"/>
          <w:sz w:val="32"/>
          <w:szCs w:val="32"/>
          <w:u w:val="none"/>
          <w:lang w:val="en-US" w:eastAsia="zh-CN"/>
        </w:rPr>
        <w:t>10</w:t>
      </w:r>
      <w:r>
        <w:rPr>
          <w:rFonts w:hint="eastAsia" w:ascii="仿宋" w:hAnsi="仿宋" w:eastAsia="仿宋_GB2312" w:cs="仿宋_GB2312"/>
          <w:sz w:val="32"/>
          <w:szCs w:val="32"/>
          <w:u w:val="none"/>
        </w:rPr>
        <w:t>”闽台棒垒球交流服务体系，即设立1个省级闽台</w:t>
      </w:r>
      <w:r>
        <w:rPr>
          <w:rFonts w:hint="eastAsia" w:ascii="仿宋" w:hAnsi="仿宋" w:eastAsia="仿宋_GB2312" w:cs="仿宋_GB2312"/>
          <w:sz w:val="32"/>
          <w:szCs w:val="32"/>
          <w:u w:val="none"/>
          <w:lang w:val="en-US" w:eastAsia="zh-CN"/>
        </w:rPr>
        <w:t>区域发展中心</w:t>
      </w:r>
      <w:r>
        <w:rPr>
          <w:rFonts w:hint="eastAsia" w:ascii="仿宋" w:hAnsi="仿宋" w:eastAsia="仿宋_GB2312" w:cs="仿宋_GB2312"/>
          <w:sz w:val="32"/>
          <w:szCs w:val="32"/>
          <w:u w:val="none"/>
        </w:rPr>
        <w:t>，打造</w:t>
      </w:r>
      <w:r>
        <w:rPr>
          <w:rFonts w:hint="eastAsia" w:ascii="仿宋" w:hAnsi="仿宋" w:eastAsia="仿宋_GB2312" w:cs="仿宋_GB2312"/>
          <w:sz w:val="32"/>
          <w:szCs w:val="32"/>
          <w:u w:val="none"/>
          <w:lang w:val="en-US" w:eastAsia="zh-CN"/>
        </w:rPr>
        <w:t>4个</w:t>
      </w:r>
      <w:r>
        <w:rPr>
          <w:rFonts w:hint="eastAsia" w:ascii="仿宋" w:hAnsi="仿宋" w:eastAsia="仿宋_GB2312" w:cs="仿宋_GB2312"/>
          <w:sz w:val="32"/>
          <w:szCs w:val="32"/>
          <w:u w:val="none"/>
        </w:rPr>
        <w:t>高水平棒垒球赛事活动基地和每个设区市（含平潭综合实验区，下同）创建1个闽台棒垒球区域发展中心。</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第三条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在本省行政区域内，</w:t>
      </w:r>
      <w:r>
        <w:rPr>
          <w:rFonts w:hint="eastAsia" w:ascii="仿宋" w:hAnsi="仿宋" w:eastAsia="仿宋_GB2312" w:cs="仿宋_GB2312"/>
          <w:sz w:val="32"/>
          <w:szCs w:val="32"/>
          <w:u w:val="none"/>
          <w:lang w:val="en-US" w:eastAsia="zh-CN"/>
        </w:rPr>
        <w:t>各市、县（区）</w:t>
      </w:r>
      <w:r>
        <w:rPr>
          <w:rFonts w:hint="eastAsia" w:ascii="仿宋" w:hAnsi="仿宋" w:eastAsia="仿宋_GB2312" w:cs="仿宋_GB2312"/>
          <w:sz w:val="32"/>
          <w:szCs w:val="32"/>
          <w:u w:val="none"/>
        </w:rPr>
        <w:t>开展闽台棒垒球区域发展中心创建，适用本办法。</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sz w:val="32"/>
          <w:szCs w:val="32"/>
          <w:u w:val="none"/>
        </w:rPr>
        <w:t>本管理办法所称闽台棒垒球区域发展中心（以下简称：区域发展中心）依托台湾棒垒球项目发展人才资源，鼓励引导台湾棒垒球俱乐部、公司、团队或教练员个人参与我省棒垒球项目培训、赛事运营、场馆运营、文化交流等，推动形成棒垒球区域发展中心，普及棒垒球人口，常态化开展两岸青少年体育项目合作交流。</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 xml:space="preserve">第二章 </w:t>
      </w:r>
      <w:r>
        <w:rPr>
          <w:rFonts w:hint="eastAsia" w:ascii="黑体" w:hAnsi="黑体" w:eastAsia="黑体" w:cs="黑体"/>
          <w:sz w:val="32"/>
          <w:szCs w:val="32"/>
          <w:u w:val="none"/>
          <w:lang w:val="en-US" w:eastAsia="zh-CN"/>
        </w:rPr>
        <w:t xml:space="preserve"> 市级</w:t>
      </w:r>
      <w:r>
        <w:rPr>
          <w:rFonts w:hint="eastAsia" w:ascii="黑体" w:hAnsi="黑体" w:eastAsia="黑体" w:cs="黑体"/>
          <w:sz w:val="32"/>
          <w:szCs w:val="32"/>
          <w:u w:val="none"/>
        </w:rPr>
        <w:t>区域发展中心创建要求</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第四条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由各市、县（区）人民政府负责统筹闽台棒垒球区域发展中心创建工作，成立创建工作领导小组或工作专班，领导小组或工作专班办公室设在体育部门，负责本辖区区域发展中心创建日常工作。</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第五条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每个创建区域发展中心的市、县（区）辖区内至少10所学校联动开展棒垒球运动，其中小学</w:t>
      </w:r>
      <w:r>
        <w:rPr>
          <w:rFonts w:ascii="仿宋" w:hAnsi="仿宋" w:eastAsia="仿宋_GB2312" w:cs="仿宋_GB2312"/>
          <w:sz w:val="32"/>
          <w:szCs w:val="32"/>
          <w:u w:val="none"/>
        </w:rPr>
        <w:t>6</w:t>
      </w:r>
      <w:r>
        <w:rPr>
          <w:rFonts w:hint="eastAsia" w:ascii="仿宋" w:hAnsi="仿宋" w:eastAsia="仿宋_GB2312" w:cs="仿宋_GB2312"/>
          <w:sz w:val="32"/>
          <w:szCs w:val="32"/>
          <w:u w:val="none"/>
        </w:rPr>
        <w:t>所以上、初高中至少4所（初中、高中各不少于1所）。联动开展棒垒球运动的学校（以下简称“联动学校”）应该满足以下要求：</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1.小学至少具备1片35米×35米及以上尺寸的平整运动场地，初中、高中应至少具备1片十一人制足球场或棒垒球场，学校具备充足的生源条件。</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2.联动学校应在体育课、课后延时活动上开设棒垒球课程，小学一年级至二年级开展迷你棒球或软式棒垒球，小学三年级以上开展男子棒球、女子快投垒球运动项目课程。</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3.联动学校应建立校级棒球队或快投垒球队，运动员人数不少于1</w:t>
      </w:r>
      <w:r>
        <w:rPr>
          <w:rFonts w:ascii="仿宋" w:hAnsi="仿宋" w:eastAsia="仿宋_GB2312" w:cs="仿宋_GB2312"/>
          <w:sz w:val="32"/>
          <w:szCs w:val="32"/>
          <w:u w:val="none"/>
        </w:rPr>
        <w:t>8</w:t>
      </w:r>
      <w:r>
        <w:rPr>
          <w:rFonts w:hint="eastAsia" w:ascii="仿宋" w:hAnsi="仿宋" w:eastAsia="仿宋_GB2312" w:cs="仿宋_GB2312"/>
          <w:sz w:val="32"/>
          <w:szCs w:val="32"/>
          <w:u w:val="none"/>
        </w:rPr>
        <w:t>人，每周安排训练3次以上、每次不低于</w:t>
      </w:r>
      <w:r>
        <w:rPr>
          <w:rFonts w:ascii="仿宋" w:hAnsi="仿宋" w:eastAsia="仿宋_GB2312" w:cs="仿宋_GB2312"/>
          <w:sz w:val="32"/>
          <w:szCs w:val="32"/>
          <w:u w:val="none"/>
        </w:rPr>
        <w:t>90</w:t>
      </w:r>
      <w:r>
        <w:rPr>
          <w:rFonts w:hint="eastAsia" w:ascii="仿宋" w:hAnsi="仿宋" w:eastAsia="仿宋_GB2312" w:cs="仿宋_GB2312"/>
          <w:sz w:val="32"/>
          <w:szCs w:val="32"/>
          <w:u w:val="none"/>
        </w:rPr>
        <w:t>分钟。校队至少配备1名获得国家级或省级棒垒球协会颁发的初级及以上证书的教练员。</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rPr>
        <w:t>4</w:t>
      </w:r>
      <w:r>
        <w:rPr>
          <w:rFonts w:ascii="仿宋" w:hAnsi="仿宋" w:eastAsia="仿宋_GB2312" w:cs="仿宋_GB2312"/>
          <w:sz w:val="32"/>
          <w:szCs w:val="32"/>
          <w:highlight w:val="none"/>
          <w:u w:val="none"/>
        </w:rPr>
        <w:t>.</w:t>
      </w:r>
      <w:r>
        <w:rPr>
          <w:rFonts w:hint="eastAsia" w:ascii="仿宋" w:hAnsi="仿宋" w:eastAsia="仿宋_GB2312" w:cs="仿宋_GB2312"/>
          <w:sz w:val="32"/>
          <w:szCs w:val="32"/>
          <w:highlight w:val="none"/>
          <w:u w:val="none"/>
        </w:rPr>
        <w:t>联动学校须配备符合行业标准的、满足日常训练比赛需要的专业器材。</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第六条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每个</w:t>
      </w:r>
      <w:r>
        <w:rPr>
          <w:rFonts w:hint="eastAsia" w:ascii="仿宋" w:hAnsi="仿宋" w:eastAsia="仿宋_GB2312" w:cs="仿宋_GB2312"/>
          <w:sz w:val="32"/>
          <w:szCs w:val="32"/>
          <w:u w:val="none"/>
          <w:lang w:val="en-US" w:eastAsia="zh-CN"/>
        </w:rPr>
        <w:t>区域发展</w:t>
      </w:r>
      <w:r>
        <w:rPr>
          <w:rFonts w:hint="eastAsia" w:ascii="仿宋" w:hAnsi="仿宋" w:eastAsia="仿宋_GB2312" w:cs="仿宋_GB2312"/>
          <w:sz w:val="32"/>
          <w:szCs w:val="32"/>
          <w:u w:val="none"/>
        </w:rPr>
        <w:t>中心应聘请不少于3名专业棒球或快投垒球教练员（其中至少1名全职台湾教练员）</w:t>
      </w:r>
      <w:r>
        <w:rPr>
          <w:rFonts w:hint="eastAsia" w:ascii="仿宋" w:hAnsi="仿宋" w:eastAsia="仿宋_GB2312" w:cs="仿宋_GB2312"/>
          <w:sz w:val="32"/>
          <w:szCs w:val="32"/>
          <w:u w:val="none"/>
          <w:lang w:eastAsia="zh-CN"/>
        </w:rPr>
        <w:t>，</w:t>
      </w:r>
      <w:r>
        <w:rPr>
          <w:rFonts w:hint="eastAsia" w:ascii="仿宋" w:hAnsi="仿宋" w:eastAsia="仿宋_GB2312" w:cs="仿宋_GB2312"/>
          <w:sz w:val="32"/>
          <w:szCs w:val="32"/>
          <w:u w:val="none"/>
        </w:rPr>
        <w:t>基本资质要求</w:t>
      </w:r>
      <w:r>
        <w:rPr>
          <w:rFonts w:hint="eastAsia" w:ascii="仿宋" w:hAnsi="仿宋" w:eastAsia="仿宋_GB2312" w:cs="仿宋_GB2312"/>
          <w:sz w:val="32"/>
          <w:szCs w:val="32"/>
          <w:u w:val="none"/>
          <w:lang w:val="en-US" w:eastAsia="zh-CN"/>
        </w:rPr>
        <w:t>如下</w:t>
      </w:r>
      <w:r>
        <w:rPr>
          <w:rFonts w:hint="eastAsia" w:ascii="仿宋" w:hAnsi="仿宋"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lang w:eastAsia="zh-CN"/>
        </w:rPr>
        <w:t>（一）</w:t>
      </w:r>
      <w:r>
        <w:rPr>
          <w:rFonts w:hint="eastAsia" w:ascii="仿宋" w:hAnsi="仿宋" w:eastAsia="仿宋_GB2312" w:cs="仿宋_GB2312"/>
          <w:sz w:val="32"/>
          <w:szCs w:val="32"/>
          <w:u w:val="none"/>
        </w:rPr>
        <w:t>全职教练员：</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1.台湾教练员需持有《</w:t>
      </w:r>
      <w:r>
        <w:rPr>
          <w:rFonts w:hint="eastAsia" w:ascii="仿宋" w:hAnsi="仿宋" w:eastAsia="仿宋_GB2312" w:cs="仿宋_GB2312"/>
          <w:sz w:val="32"/>
          <w:szCs w:val="32"/>
          <w:u w:val="none"/>
          <w:lang w:val="en-US" w:eastAsia="zh-CN"/>
        </w:rPr>
        <w:t>中华人民共和国</w:t>
      </w:r>
      <w:r>
        <w:rPr>
          <w:rFonts w:hint="eastAsia" w:ascii="仿宋" w:hAnsi="仿宋" w:eastAsia="仿宋_GB2312" w:cs="仿宋_GB2312"/>
          <w:sz w:val="32"/>
          <w:szCs w:val="32"/>
          <w:u w:val="none"/>
        </w:rPr>
        <w:t>台湾居民居住证》或《台湾居民来往大陆通行证》，具备中华台北棒球协会授予的C级及以上教练证（有效期内）或满足以下条件：在大陆执教2年以上，并在任教期间获得过省级及以上棒球比赛前三名，同时已取得中国棒球协会授予的初级及以上棒球教练员证书（有效期内）。</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2.大陆教练员需获得一级及以上运动员等级证书或曾担任市级及以上棒、垒球专业队教练员（出具相关单位证明函），并具备中国棒球协会授予的棒球教练员证书或中国垒球协会授予的快投垒球教练员证书（有效期内）。</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lang w:eastAsia="zh-CN"/>
        </w:rPr>
        <w:t>（二）</w:t>
      </w:r>
      <w:r>
        <w:rPr>
          <w:rFonts w:hint="eastAsia" w:ascii="仿宋" w:hAnsi="仿宋" w:eastAsia="仿宋_GB2312" w:cs="仿宋_GB2312"/>
          <w:sz w:val="32"/>
          <w:szCs w:val="32"/>
          <w:u w:val="none"/>
        </w:rPr>
        <w:t>兼职教练员：具备中国棒球协会授予的棒球教练员证书或中国垒球协会授予的快投垒球教练员证书（有效期内）或中华台北棒球协会授予的C级及以上棒球教练证（有效期内）。</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第七条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每个</w:t>
      </w:r>
      <w:r>
        <w:rPr>
          <w:rFonts w:hint="eastAsia" w:ascii="仿宋" w:hAnsi="仿宋" w:eastAsia="仿宋_GB2312" w:cs="仿宋_GB2312"/>
          <w:sz w:val="32"/>
          <w:szCs w:val="32"/>
          <w:u w:val="none"/>
          <w:lang w:val="en-US" w:eastAsia="zh-CN"/>
        </w:rPr>
        <w:t>区域发展</w:t>
      </w:r>
      <w:r>
        <w:rPr>
          <w:rFonts w:hint="eastAsia" w:ascii="仿宋" w:hAnsi="仿宋" w:eastAsia="仿宋_GB2312" w:cs="仿宋_GB2312"/>
          <w:sz w:val="32"/>
          <w:szCs w:val="32"/>
          <w:u w:val="none"/>
        </w:rPr>
        <w:t>中心专业教练员需为区域内联动学校的体育老师开展常态化棒垒球</w:t>
      </w:r>
      <w:r>
        <w:rPr>
          <w:rFonts w:hint="eastAsia" w:ascii="仿宋" w:hAnsi="仿宋" w:eastAsia="仿宋_GB2312" w:cs="仿宋_GB2312"/>
          <w:sz w:val="32"/>
          <w:szCs w:val="32"/>
          <w:u w:val="none"/>
          <w:lang w:val="en-US" w:eastAsia="zh-CN"/>
        </w:rPr>
        <w:t>专业技术和竞赛规则</w:t>
      </w:r>
      <w:r>
        <w:rPr>
          <w:rFonts w:hint="eastAsia" w:ascii="仿宋" w:hAnsi="仿宋" w:eastAsia="仿宋_GB2312" w:cs="仿宋_GB2312"/>
          <w:sz w:val="32"/>
          <w:szCs w:val="32"/>
          <w:u w:val="none"/>
        </w:rPr>
        <w:t>培训，确保体育老师具备基层学校独立带队能力。每月不少于2次，每次不少于0.5天，寒暑假开展集中培训，每次不少于1周。</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第八条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每个</w:t>
      </w:r>
      <w:r>
        <w:rPr>
          <w:rFonts w:hint="eastAsia" w:ascii="仿宋" w:hAnsi="仿宋" w:eastAsia="仿宋_GB2312" w:cs="仿宋_GB2312"/>
          <w:sz w:val="32"/>
          <w:szCs w:val="32"/>
          <w:u w:val="none"/>
          <w:lang w:val="en-US" w:eastAsia="zh-CN"/>
        </w:rPr>
        <w:t>区域发展</w:t>
      </w:r>
      <w:r>
        <w:rPr>
          <w:rFonts w:hint="eastAsia" w:ascii="仿宋" w:hAnsi="仿宋" w:eastAsia="仿宋_GB2312" w:cs="仿宋_GB2312"/>
          <w:sz w:val="32"/>
          <w:szCs w:val="32"/>
          <w:u w:val="none"/>
        </w:rPr>
        <w:t>中心每年应举办</w:t>
      </w:r>
      <w:r>
        <w:rPr>
          <w:rFonts w:ascii="仿宋" w:hAnsi="仿宋" w:eastAsia="仿宋_GB2312" w:cs="仿宋_GB2312"/>
          <w:sz w:val="32"/>
          <w:szCs w:val="32"/>
          <w:u w:val="none"/>
        </w:rPr>
        <w:t>2</w:t>
      </w:r>
      <w:r>
        <w:rPr>
          <w:rFonts w:hint="eastAsia" w:ascii="仿宋" w:hAnsi="仿宋" w:eastAsia="仿宋_GB2312" w:cs="仿宋_GB2312"/>
          <w:sz w:val="32"/>
          <w:szCs w:val="32"/>
          <w:u w:val="none"/>
        </w:rPr>
        <w:t>次以上区域内联动学校选拔赛，选拔优秀运动员组建中心小学、初中、高中各参赛组别代表队，安排每周2次以上、每次不低于1</w:t>
      </w:r>
      <w:r>
        <w:rPr>
          <w:rFonts w:ascii="仿宋" w:hAnsi="仿宋" w:eastAsia="仿宋_GB2312" w:cs="仿宋_GB2312"/>
          <w:sz w:val="32"/>
          <w:szCs w:val="32"/>
          <w:u w:val="none"/>
        </w:rPr>
        <w:t>20</w:t>
      </w:r>
      <w:r>
        <w:rPr>
          <w:rFonts w:hint="eastAsia" w:ascii="仿宋" w:hAnsi="仿宋" w:eastAsia="仿宋_GB2312" w:cs="仿宋_GB2312"/>
          <w:sz w:val="32"/>
          <w:szCs w:val="32"/>
          <w:u w:val="none"/>
        </w:rPr>
        <w:t>分钟的训练，代表队每年应参加</w:t>
      </w:r>
      <w:r>
        <w:rPr>
          <w:rFonts w:ascii="仿宋" w:hAnsi="仿宋" w:eastAsia="仿宋_GB2312" w:cs="仿宋_GB2312"/>
          <w:sz w:val="32"/>
          <w:szCs w:val="32"/>
          <w:u w:val="none"/>
        </w:rPr>
        <w:t>2</w:t>
      </w:r>
      <w:r>
        <w:rPr>
          <w:rFonts w:hint="eastAsia" w:ascii="仿宋" w:hAnsi="仿宋" w:eastAsia="仿宋_GB2312" w:cs="仿宋_GB2312"/>
          <w:sz w:val="32"/>
          <w:szCs w:val="32"/>
          <w:u w:val="none"/>
        </w:rPr>
        <w:t>次以上省级赛事（含闽台赛事），每年参加比赛场次不少于30场（含教学邀请赛）。</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第九条</w:t>
      </w:r>
      <w:r>
        <w:rPr>
          <w:rFonts w:hint="eastAsia" w:ascii="仿宋" w:hAnsi="仿宋" w:eastAsia="仿宋_GB2312" w:cs="仿宋_GB2312"/>
          <w:sz w:val="32"/>
          <w:szCs w:val="32"/>
          <w:highlight w:val="none"/>
          <w:u w:val="none"/>
          <w:lang w:eastAsia="zh-CN"/>
        </w:rPr>
        <w:t>　</w:t>
      </w:r>
      <w:r>
        <w:rPr>
          <w:rFonts w:hint="eastAsia" w:ascii="仿宋" w:hAnsi="仿宋" w:eastAsia="仿宋_GB2312" w:cs="仿宋_GB2312"/>
          <w:sz w:val="32"/>
          <w:szCs w:val="32"/>
          <w:highlight w:val="none"/>
          <w:u w:val="none"/>
        </w:rPr>
        <w:t>每个</w:t>
      </w:r>
      <w:r>
        <w:rPr>
          <w:rFonts w:hint="eastAsia" w:ascii="仿宋" w:hAnsi="仿宋" w:eastAsia="仿宋_GB2312" w:cs="仿宋_GB2312"/>
          <w:sz w:val="32"/>
          <w:szCs w:val="32"/>
          <w:highlight w:val="none"/>
          <w:u w:val="none"/>
          <w:lang w:val="en-US" w:eastAsia="zh-CN"/>
        </w:rPr>
        <w:t>区域发展</w:t>
      </w:r>
      <w:r>
        <w:rPr>
          <w:rFonts w:hint="eastAsia" w:ascii="仿宋" w:hAnsi="仿宋" w:eastAsia="仿宋_GB2312" w:cs="仿宋_GB2312"/>
          <w:sz w:val="32"/>
          <w:szCs w:val="32"/>
          <w:highlight w:val="none"/>
          <w:u w:val="none"/>
        </w:rPr>
        <w:t>中心代表队配备满足训练比赛需求的、符合中国单项协会器材标准的</w:t>
      </w:r>
      <w:r>
        <w:rPr>
          <w:rFonts w:hint="eastAsia" w:ascii="仿宋" w:hAnsi="仿宋" w:eastAsia="仿宋_GB2312" w:cs="仿宋_GB2312"/>
          <w:sz w:val="32"/>
          <w:szCs w:val="32"/>
          <w:highlight w:val="none"/>
          <w:u w:val="none"/>
          <w:lang w:val="en-US" w:eastAsia="zh-CN"/>
        </w:rPr>
        <w:t>运动</w:t>
      </w:r>
      <w:r>
        <w:rPr>
          <w:rFonts w:hint="eastAsia" w:ascii="仿宋" w:hAnsi="仿宋" w:eastAsia="仿宋_GB2312" w:cs="仿宋_GB2312"/>
          <w:sz w:val="32"/>
          <w:szCs w:val="32"/>
          <w:highlight w:val="none"/>
          <w:u w:val="none"/>
        </w:rPr>
        <w:t>器材。</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b/>
          <w:bCs/>
          <w:sz w:val="32"/>
          <w:szCs w:val="32"/>
          <w:u w:val="none"/>
        </w:rPr>
        <w:t>第十条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每个</w:t>
      </w:r>
      <w:r>
        <w:rPr>
          <w:rFonts w:hint="eastAsia" w:ascii="仿宋" w:hAnsi="仿宋" w:eastAsia="仿宋_GB2312" w:cs="仿宋_GB2312"/>
          <w:sz w:val="32"/>
          <w:szCs w:val="32"/>
          <w:u w:val="none"/>
          <w:lang w:val="en-US" w:eastAsia="zh-CN"/>
        </w:rPr>
        <w:t>区域发展</w:t>
      </w:r>
      <w:r>
        <w:rPr>
          <w:rFonts w:hint="eastAsia" w:ascii="仿宋" w:hAnsi="仿宋" w:eastAsia="仿宋_GB2312" w:cs="仿宋_GB2312"/>
          <w:sz w:val="32"/>
          <w:szCs w:val="32"/>
          <w:u w:val="none"/>
        </w:rPr>
        <w:t>中心需与台湾县市区建立棒垒球友好城市关系，每年举办1次以上闽台棒垒球活动，累计与不少于4支台湾队伍交流。</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第三章</w:t>
      </w:r>
      <w:r>
        <w:rPr>
          <w:rFonts w:hint="eastAsia" w:ascii="黑体" w:hAnsi="黑体" w:eastAsia="黑体" w:cs="黑体"/>
          <w:sz w:val="32"/>
          <w:szCs w:val="32"/>
          <w:u w:val="none"/>
          <w:lang w:eastAsia="zh-CN"/>
        </w:rPr>
        <w:t>　</w:t>
      </w:r>
      <w:r>
        <w:rPr>
          <w:rFonts w:hint="eastAsia" w:ascii="黑体" w:hAnsi="黑体" w:eastAsia="黑体" w:cs="黑体"/>
          <w:sz w:val="32"/>
          <w:szCs w:val="32"/>
          <w:u w:val="none"/>
          <w:lang w:val="en-US" w:eastAsia="zh-CN"/>
        </w:rPr>
        <w:t>市级</w:t>
      </w:r>
      <w:r>
        <w:rPr>
          <w:rFonts w:hint="eastAsia" w:ascii="黑体" w:hAnsi="黑体" w:eastAsia="黑体" w:cs="黑体"/>
          <w:sz w:val="32"/>
          <w:szCs w:val="32"/>
          <w:u w:val="none"/>
        </w:rPr>
        <w:t>区域发展中心支持政策</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第十一条</w:t>
      </w:r>
      <w:r>
        <w:rPr>
          <w:rFonts w:hint="eastAsia" w:ascii="仿宋" w:hAnsi="仿宋" w:eastAsia="仿宋_GB2312" w:cs="仿宋_GB2312"/>
          <w:sz w:val="32"/>
          <w:szCs w:val="32"/>
          <w:u w:val="none"/>
          <w:lang w:eastAsia="zh-CN"/>
        </w:rPr>
        <w:t>　</w:t>
      </w:r>
      <w:r>
        <w:rPr>
          <w:rFonts w:hint="eastAsia" w:ascii="仿宋" w:hAnsi="仿宋" w:eastAsia="仿宋_GB2312" w:cs="仿宋_GB2312"/>
          <w:sz w:val="32"/>
          <w:szCs w:val="32"/>
          <w:u w:val="none"/>
        </w:rPr>
        <w:t>省体育局每年从体育事业发展专项资金中安排对</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区域发展中心创建进行补助，每个中心每年补助不高于100万元。</w:t>
      </w:r>
      <w:r>
        <w:rPr>
          <w:rFonts w:hint="eastAsia" w:ascii="仿宋" w:hAnsi="仿宋" w:eastAsia="仿宋_GB2312" w:cs="仿宋_GB2312"/>
          <w:sz w:val="32"/>
          <w:szCs w:val="32"/>
          <w:u w:val="none"/>
          <w:lang w:val="en-US" w:eastAsia="zh-CN"/>
        </w:rPr>
        <w:t>主要</w:t>
      </w:r>
      <w:r>
        <w:rPr>
          <w:rFonts w:hint="eastAsia" w:ascii="仿宋" w:hAnsi="仿宋" w:eastAsia="仿宋_GB2312" w:cs="仿宋_GB2312"/>
          <w:sz w:val="32"/>
          <w:szCs w:val="32"/>
          <w:u w:val="none"/>
        </w:rPr>
        <w:t>用于聘请专业教练员、采购专业器材、场地改造、参加棒球专业技术资格培训考核、参加省级以上棒球赛事、组织区域内棒球赛事或闽台棒球赛事等方面。</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u w:val="none"/>
        </w:rPr>
        <w:t>第十二条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同等条件下，联动学校优先评选省级体育传统特色校（棒球/垒球）。</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b/>
          <w:bCs/>
          <w:sz w:val="32"/>
          <w:szCs w:val="32"/>
          <w:u w:val="none"/>
        </w:rPr>
        <w:t>第十三条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闽台棒垒球融合发展成效好、棒垒球人口规模大、竞技水平高的县（市、区），优先评为省级全民健身模范县（市、区），优先推荐申报国家级全民健身模范县（市、区）。适时开展闽台棒垒球区域发展模范县（市、区）评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第四章</w:t>
      </w:r>
      <w:r>
        <w:rPr>
          <w:rFonts w:hint="eastAsia" w:ascii="黑体" w:hAnsi="黑体" w:eastAsia="黑体" w:cs="黑体"/>
          <w:sz w:val="32"/>
          <w:szCs w:val="32"/>
          <w:u w:val="none"/>
          <w:lang w:eastAsia="zh-CN"/>
        </w:rPr>
        <w:t>　</w:t>
      </w:r>
      <w:r>
        <w:rPr>
          <w:rFonts w:hint="eastAsia" w:ascii="黑体" w:hAnsi="黑体" w:eastAsia="黑体" w:cs="黑体"/>
          <w:sz w:val="32"/>
          <w:szCs w:val="32"/>
          <w:u w:val="none"/>
          <w:lang w:val="en-US" w:eastAsia="zh-CN"/>
        </w:rPr>
        <w:t>市级</w:t>
      </w:r>
      <w:r>
        <w:rPr>
          <w:rFonts w:hint="eastAsia" w:ascii="黑体" w:hAnsi="黑体" w:eastAsia="黑体" w:cs="黑体"/>
          <w:sz w:val="32"/>
          <w:szCs w:val="32"/>
          <w:u w:val="none"/>
        </w:rPr>
        <w:t>区域发展中心申报程序</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b/>
          <w:bCs/>
          <w:sz w:val="32"/>
          <w:szCs w:val="32"/>
          <w:u w:val="none"/>
        </w:rPr>
        <w:t>第十四条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b w:val="0"/>
          <w:bCs w:val="0"/>
          <w:sz w:val="32"/>
          <w:szCs w:val="32"/>
          <w:u w:val="none"/>
          <w:lang w:val="en-US" w:eastAsia="zh-CN"/>
        </w:rPr>
        <w:t>市级</w:t>
      </w:r>
      <w:r>
        <w:rPr>
          <w:rFonts w:hint="eastAsia" w:ascii="仿宋" w:hAnsi="仿宋" w:eastAsia="仿宋_GB2312" w:cs="仿宋_GB2312"/>
          <w:sz w:val="32"/>
          <w:szCs w:val="32"/>
          <w:u w:val="none"/>
        </w:rPr>
        <w:t>闽台棒垒球区域发展中心实行申报承诺制，以设区市为区域发展中心的以市体育局名义申报，以县（市、区）为区域发展中心的以当地人民政府名义申报。</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lang w:eastAsia="zh-CN"/>
        </w:rPr>
      </w:pPr>
      <w:r>
        <w:rPr>
          <w:rFonts w:hint="eastAsia" w:ascii="仿宋" w:hAnsi="仿宋" w:eastAsia="仿宋_GB2312" w:cs="仿宋_GB2312"/>
          <w:sz w:val="32"/>
          <w:szCs w:val="32"/>
          <w:u w:val="none"/>
        </w:rPr>
        <w:t>1．体教融合深入、体育文化氛围浓厚、体育场地设施条件好、对台资源优势突出、建设资金有保障、基层干部、学校、老师积极性高的市、县（区）优先</w:t>
      </w:r>
      <w:r>
        <w:rPr>
          <w:rFonts w:hint="eastAsia" w:ascii="仿宋" w:hAnsi="仿宋"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u w:val="none"/>
          <w:lang w:eastAsia="zh-CN"/>
        </w:rPr>
      </w:pPr>
      <w:r>
        <w:rPr>
          <w:rFonts w:hint="eastAsia" w:ascii="仿宋" w:hAnsi="仿宋" w:eastAsia="仿宋_GB2312" w:cs="仿宋_GB2312"/>
          <w:sz w:val="32"/>
          <w:szCs w:val="32"/>
          <w:u w:val="none"/>
        </w:rPr>
        <w:t>2．尚未开展棒垒球项目的，申报单位须出具承诺书，承诺在</w:t>
      </w:r>
      <w:r>
        <w:rPr>
          <w:rFonts w:hint="eastAsia" w:ascii="仿宋" w:hAnsi="仿宋" w:eastAsia="仿宋_GB2312" w:cs="仿宋_GB2312"/>
          <w:sz w:val="32"/>
          <w:szCs w:val="32"/>
          <w:u w:val="none"/>
          <w:lang w:val="en-US" w:eastAsia="zh-CN"/>
        </w:rPr>
        <w:t>创建</w:t>
      </w:r>
      <w:r>
        <w:rPr>
          <w:rFonts w:hint="eastAsia" w:ascii="仿宋" w:hAnsi="仿宋" w:eastAsia="仿宋_GB2312" w:cs="仿宋_GB2312"/>
          <w:sz w:val="32"/>
          <w:szCs w:val="32"/>
          <w:u w:val="none"/>
        </w:rPr>
        <w:t>要求（</w:t>
      </w:r>
      <w:r>
        <w:rPr>
          <w:rFonts w:hint="eastAsia" w:ascii="仿宋" w:hAnsi="仿宋" w:eastAsia="仿宋_GB2312" w:cs="仿宋_GB2312"/>
          <w:sz w:val="32"/>
          <w:szCs w:val="32"/>
          <w:u w:val="none"/>
          <w:lang w:val="en-US" w:eastAsia="zh-CN"/>
        </w:rPr>
        <w:t>本办法</w:t>
      </w:r>
      <w:r>
        <w:rPr>
          <w:rFonts w:hint="eastAsia" w:ascii="仿宋" w:hAnsi="仿宋" w:eastAsia="仿宋_GB2312" w:cs="仿宋_GB2312"/>
          <w:sz w:val="32"/>
          <w:szCs w:val="32"/>
          <w:u w:val="none"/>
        </w:rPr>
        <w:t>第二章）的相关时限要求内，完成</w:t>
      </w:r>
      <w:r>
        <w:rPr>
          <w:rFonts w:hint="eastAsia" w:ascii="仿宋" w:hAnsi="仿宋" w:eastAsia="仿宋_GB2312" w:cs="仿宋_GB2312"/>
          <w:sz w:val="32"/>
          <w:szCs w:val="32"/>
          <w:u w:val="none"/>
          <w:lang w:val="en-US" w:eastAsia="zh-CN"/>
        </w:rPr>
        <w:t>区域发展</w:t>
      </w:r>
      <w:r>
        <w:rPr>
          <w:rFonts w:hint="eastAsia" w:ascii="仿宋" w:hAnsi="仿宋" w:eastAsia="仿宋_GB2312" w:cs="仿宋_GB2312"/>
          <w:sz w:val="32"/>
          <w:szCs w:val="32"/>
          <w:u w:val="none"/>
        </w:rPr>
        <w:t>中心的基本投入与建设工作</w:t>
      </w:r>
      <w:r>
        <w:rPr>
          <w:rFonts w:hint="eastAsia" w:ascii="仿宋" w:hAnsi="仿宋"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（二）申报流程：</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ascii="仿宋" w:hAnsi="仿宋" w:eastAsia="仿宋_GB2312" w:cs="仿宋_GB2312"/>
          <w:sz w:val="32"/>
          <w:szCs w:val="32"/>
          <w:u w:val="none"/>
        </w:rPr>
      </w:pPr>
      <w:r>
        <w:rPr>
          <w:rFonts w:ascii="仿宋" w:hAnsi="仿宋" w:eastAsia="仿宋_GB2312" w:cs="仿宋_GB2312"/>
          <w:sz w:val="32"/>
          <w:szCs w:val="32"/>
          <w:u w:val="none"/>
        </w:rPr>
        <w:t>1</w:t>
      </w:r>
      <w:r>
        <w:rPr>
          <w:rFonts w:hint="eastAsia" w:ascii="仿宋" w:hAnsi="仿宋" w:eastAsia="仿宋_GB2312" w:cs="仿宋_GB2312"/>
          <w:sz w:val="32"/>
          <w:szCs w:val="32"/>
          <w:u w:val="none"/>
        </w:rPr>
        <w:t>.申请单位按要求提供申报材料，由各设区市体育部门汇总，审核盖章后推送至省体育局。</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sz w:val="32"/>
          <w:szCs w:val="32"/>
          <w:u w:val="none"/>
        </w:rPr>
        <w:t>2．省体育局联合相关单位组织专家组对各设区市申报材料进行审核，提出候选名单，并进行公示。</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sz w:val="32"/>
          <w:szCs w:val="32"/>
          <w:u w:val="none"/>
        </w:rPr>
        <w:t>3．公示通过后，按照财政转移支付预算管理相关规定，下达补助资金。</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after="167" w:afterLines="50" w:line="58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第五章</w:t>
      </w:r>
      <w:r>
        <w:rPr>
          <w:rFonts w:hint="eastAsia" w:ascii="黑体" w:hAnsi="黑体" w:eastAsia="黑体" w:cs="黑体"/>
          <w:sz w:val="32"/>
          <w:szCs w:val="32"/>
          <w:u w:val="none"/>
          <w:lang w:eastAsia="zh-CN"/>
        </w:rPr>
        <w:t>　</w:t>
      </w:r>
      <w:r>
        <w:rPr>
          <w:rFonts w:hint="eastAsia" w:ascii="黑体" w:hAnsi="黑体" w:eastAsia="黑体" w:cs="黑体"/>
          <w:sz w:val="32"/>
          <w:szCs w:val="32"/>
          <w:u w:val="none"/>
          <w:lang w:val="en-US" w:eastAsia="zh-CN"/>
        </w:rPr>
        <w:t>省级区域发展中心</w:t>
      </w:r>
      <w:r>
        <w:rPr>
          <w:rFonts w:hint="eastAsia" w:ascii="黑体" w:hAnsi="黑体" w:eastAsia="黑体" w:cs="黑体"/>
          <w:sz w:val="32"/>
          <w:szCs w:val="32"/>
          <w:u w:val="none"/>
        </w:rPr>
        <w:t>职责</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u w:val="none"/>
        </w:rPr>
        <w:t>第十五条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省级区域发展中心由省体育局牵头设立，主要工作职责：</w:t>
      </w:r>
      <w:r>
        <w:rPr>
          <w:rFonts w:hint="eastAsia" w:ascii="仿宋" w:hAnsi="仿宋" w:eastAsia="仿宋_GB2312" w:cs="仿宋_GB2312"/>
          <w:b/>
          <w:bCs/>
          <w:sz w:val="32"/>
          <w:szCs w:val="32"/>
          <w:u w:val="none"/>
        </w:rPr>
        <w:t>一是</w:t>
      </w:r>
      <w:r>
        <w:rPr>
          <w:rFonts w:hint="eastAsia" w:ascii="仿宋" w:hAnsi="仿宋" w:eastAsia="仿宋_GB2312" w:cs="仿宋_GB2312"/>
          <w:sz w:val="32"/>
          <w:szCs w:val="32"/>
          <w:u w:val="none"/>
        </w:rPr>
        <w:t>指导、督促各</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区域发展中心创建工作</w:t>
      </w:r>
      <w:bookmarkStart w:id="5" w:name="_GoBack"/>
      <w:r>
        <w:rPr>
          <w:rFonts w:hint="eastAsia" w:ascii="仿宋" w:hAnsi="仿宋" w:eastAsia="仿宋_GB2312" w:cs="仿宋_GB2312"/>
          <w:b w:val="0"/>
          <w:bCs w:val="0"/>
          <w:sz w:val="32"/>
          <w:szCs w:val="32"/>
          <w:u w:val="none"/>
        </w:rPr>
        <w:t>；</w:t>
      </w:r>
      <w:bookmarkEnd w:id="5"/>
      <w:r>
        <w:rPr>
          <w:rFonts w:hint="eastAsia" w:ascii="仿宋" w:hAnsi="仿宋" w:eastAsia="仿宋_GB2312" w:cs="仿宋_GB2312"/>
          <w:b/>
          <w:bCs/>
          <w:sz w:val="32"/>
          <w:szCs w:val="32"/>
          <w:u w:val="none"/>
        </w:rPr>
        <w:t>二是</w:t>
      </w:r>
      <w:r>
        <w:rPr>
          <w:rFonts w:hint="eastAsia" w:ascii="仿宋" w:hAnsi="仿宋" w:eastAsia="仿宋_GB2312" w:cs="仿宋_GB2312"/>
          <w:sz w:val="32"/>
          <w:szCs w:val="32"/>
          <w:u w:val="none"/>
        </w:rPr>
        <w:t>积极同中华台北棒球协会等台湾棒垒球体育社会组织合作，打造台湾人才共享平台；</w:t>
      </w:r>
      <w:r>
        <w:rPr>
          <w:rFonts w:hint="eastAsia" w:ascii="仿宋" w:hAnsi="仿宋" w:eastAsia="仿宋_GB2312" w:cs="仿宋_GB2312"/>
          <w:b/>
          <w:bCs/>
          <w:sz w:val="32"/>
          <w:szCs w:val="32"/>
          <w:u w:val="none"/>
        </w:rPr>
        <w:t>三是</w:t>
      </w:r>
      <w:r>
        <w:rPr>
          <w:rFonts w:hint="eastAsia" w:ascii="仿宋" w:hAnsi="仿宋" w:eastAsia="仿宋_GB2312" w:cs="仿宋_GB2312"/>
          <w:sz w:val="32"/>
          <w:szCs w:val="32"/>
          <w:u w:val="none"/>
        </w:rPr>
        <w:t>协助各</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区域发展中心与台湾县市开展“结对子”，缔结棒球友好城市，引进台湾先进发展经验；</w:t>
      </w:r>
      <w:r>
        <w:rPr>
          <w:rFonts w:hint="eastAsia" w:ascii="仿宋" w:hAnsi="仿宋" w:eastAsia="仿宋_GB2312" w:cs="仿宋_GB2312"/>
          <w:b/>
          <w:bCs/>
          <w:sz w:val="32"/>
          <w:szCs w:val="32"/>
          <w:u w:val="none"/>
        </w:rPr>
        <w:t>四是</w:t>
      </w:r>
      <w:r>
        <w:rPr>
          <w:rFonts w:hint="eastAsia" w:ascii="仿宋" w:hAnsi="仿宋" w:eastAsia="仿宋_GB2312" w:cs="仿宋_GB2312"/>
          <w:sz w:val="32"/>
          <w:szCs w:val="32"/>
          <w:u w:val="none"/>
        </w:rPr>
        <w:t>面向</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区域发展中心及结对的台湾友好城市，选拔闽台优秀运动员</w:t>
      </w:r>
      <w:r>
        <w:rPr>
          <w:rFonts w:hint="eastAsia" w:ascii="仿宋" w:hAnsi="仿宋" w:eastAsia="仿宋_GB2312" w:cs="仿宋_GB2312"/>
          <w:sz w:val="32"/>
          <w:szCs w:val="32"/>
          <w:u w:val="none"/>
          <w:lang w:val="en-US" w:eastAsia="zh-CN"/>
        </w:rPr>
        <w:t>联合组队</w:t>
      </w:r>
      <w:r>
        <w:rPr>
          <w:rFonts w:hint="eastAsia" w:ascii="仿宋" w:hAnsi="仿宋" w:eastAsia="仿宋_GB2312" w:cs="仿宋_GB2312"/>
          <w:sz w:val="32"/>
          <w:szCs w:val="32"/>
          <w:u w:val="none"/>
        </w:rPr>
        <w:t>参加全国性赛事。</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b/>
          <w:bCs/>
          <w:sz w:val="32"/>
          <w:szCs w:val="32"/>
          <w:u w:val="none"/>
        </w:rPr>
        <w:t>第十</w:t>
      </w:r>
      <w:r>
        <w:rPr>
          <w:rFonts w:hint="eastAsia" w:ascii="仿宋" w:hAnsi="仿宋" w:eastAsia="仿宋_GB2312" w:cs="仿宋_GB2312"/>
          <w:b/>
          <w:bCs/>
          <w:sz w:val="32"/>
          <w:szCs w:val="32"/>
          <w:u w:val="none"/>
          <w:lang w:val="en-US" w:eastAsia="zh-CN"/>
        </w:rPr>
        <w:t>六</w:t>
      </w:r>
      <w:r>
        <w:rPr>
          <w:rFonts w:hint="eastAsia" w:ascii="仿宋" w:hAnsi="仿宋" w:eastAsia="仿宋_GB2312" w:cs="仿宋_GB2312"/>
          <w:b/>
          <w:bCs/>
          <w:sz w:val="32"/>
          <w:szCs w:val="32"/>
          <w:u w:val="none"/>
        </w:rPr>
        <w:t>条</w:t>
      </w:r>
      <w:r>
        <w:rPr>
          <w:rFonts w:hint="eastAsia" w:ascii="仿宋" w:hAnsi="仿宋" w:eastAsia="仿宋_GB2312" w:cs="仿宋_GB2312"/>
          <w:b/>
          <w:bCs/>
          <w:sz w:val="32"/>
          <w:szCs w:val="32"/>
          <w:u w:val="none"/>
          <w:lang w:eastAsia="zh-CN"/>
        </w:rPr>
        <w:t>　</w:t>
      </w:r>
      <w:r>
        <w:rPr>
          <w:rFonts w:hint="eastAsia" w:ascii="仿宋" w:hAnsi="仿宋" w:eastAsia="仿宋_GB2312" w:cs="仿宋_GB2312"/>
          <w:sz w:val="32"/>
          <w:szCs w:val="32"/>
          <w:u w:val="none"/>
        </w:rPr>
        <w:t>省级区域发展中心协助、督导</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开展工作，包括但不限于：与中国棒球协会、中国垒球协会、中华台北棒球协会就有关创建事宜开展战略合作，建立常态化合作机制，协助引进专业人才（含资审）、安排专业技术资质考培工作、开展台湾专业人才资质采认工作；组织专业讲座，解读最新比赛规则、介绍最新科学训练方法，开展中心间的经验交流；安排创建指导专员，实地指导创建工作，开展建设成效评估；安排比赛技术代表，督导</w:t>
      </w:r>
      <w:r>
        <w:rPr>
          <w:rFonts w:hint="eastAsia" w:ascii="仿宋" w:hAnsi="仿宋" w:eastAsia="仿宋_GB2312" w:cs="仿宋_GB2312"/>
          <w:sz w:val="32"/>
          <w:szCs w:val="32"/>
          <w:u w:val="none"/>
          <w:lang w:val="en-US" w:eastAsia="zh-CN"/>
        </w:rPr>
        <w:t>市级</w:t>
      </w:r>
      <w:r>
        <w:rPr>
          <w:rFonts w:hint="eastAsia" w:ascii="仿宋" w:hAnsi="仿宋" w:eastAsia="仿宋_GB2312" w:cs="仿宋_GB2312"/>
          <w:sz w:val="32"/>
          <w:szCs w:val="32"/>
          <w:u w:val="none"/>
        </w:rPr>
        <w:t>区域发展中心赛事合规举办；确保</w:t>
      </w:r>
      <w:r>
        <w:rPr>
          <w:rFonts w:hint="eastAsia" w:ascii="仿宋" w:hAnsi="仿宋" w:eastAsia="仿宋_GB2312" w:cs="仿宋_GB2312"/>
          <w:sz w:val="32"/>
          <w:szCs w:val="32"/>
          <w:u w:val="none"/>
          <w:lang w:val="en-US" w:eastAsia="zh-CN"/>
        </w:rPr>
        <w:t>创建工作</w:t>
      </w:r>
      <w:r>
        <w:rPr>
          <w:rFonts w:hint="eastAsia" w:ascii="仿宋" w:hAnsi="仿宋" w:eastAsia="仿宋_GB2312" w:cs="仿宋_GB2312"/>
          <w:sz w:val="32"/>
          <w:szCs w:val="32"/>
          <w:u w:val="none"/>
        </w:rPr>
        <w:t>“政策有辅导、发展有信息、资源有对接、落地有跟踪、问题有协调”的全过程闭合服务机制。</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sz w:val="32"/>
          <w:szCs w:val="32"/>
          <w:u w:val="none"/>
        </w:rPr>
      </w:pPr>
      <w:r>
        <w:rPr>
          <w:rFonts w:hint="eastAsia" w:ascii="仿宋" w:hAnsi="仿宋" w:eastAsia="仿宋_GB2312" w:cs="仿宋_GB2312"/>
          <w:b/>
          <w:bCs/>
          <w:sz w:val="32"/>
          <w:szCs w:val="32"/>
          <w:u w:val="none"/>
        </w:rPr>
        <w:t>第十</w:t>
      </w:r>
      <w:r>
        <w:rPr>
          <w:rFonts w:hint="eastAsia" w:ascii="仿宋" w:hAnsi="仿宋" w:eastAsia="仿宋_GB2312" w:cs="仿宋_GB2312"/>
          <w:b/>
          <w:bCs/>
          <w:sz w:val="32"/>
          <w:szCs w:val="32"/>
          <w:u w:val="none"/>
          <w:lang w:val="en-US" w:eastAsia="zh-CN"/>
        </w:rPr>
        <w:t>七</w:t>
      </w:r>
      <w:r>
        <w:rPr>
          <w:rFonts w:hint="eastAsia" w:ascii="仿宋" w:hAnsi="仿宋" w:eastAsia="仿宋_GB2312" w:cs="仿宋_GB2312"/>
          <w:b/>
          <w:bCs/>
          <w:sz w:val="32"/>
          <w:szCs w:val="32"/>
          <w:u w:val="none"/>
        </w:rPr>
        <w:t xml:space="preserve">条  </w:t>
      </w:r>
      <w:r>
        <w:rPr>
          <w:rFonts w:hint="eastAsia" w:ascii="仿宋" w:hAnsi="仿宋" w:eastAsia="仿宋_GB2312" w:cs="仿宋_GB2312"/>
          <w:sz w:val="32"/>
          <w:szCs w:val="32"/>
          <w:u w:val="none"/>
        </w:rPr>
        <w:t>省级区域发展中心支持、协助高水平棒垒球赛事活动基地开展工作，包括但不限于：协助对接中国棒球协会、中国垒球协会、中华台北棒球协会等相关组织，支持基地搭建赛事、活动平台，培养自主品牌赛事；支持、协助基地引进先进的棒垒球教学理念、系统的棒垒球培训课程以及专业的棒垒球人才资源，提高影响力；对基地棒垒球场地设施建设提供技术咨询服务，确保建设高标准的场地，为开展棒垒球提供良好的环境。</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第十</w:t>
      </w:r>
      <w:r>
        <w:rPr>
          <w:rFonts w:hint="eastAsia" w:ascii="仿宋" w:hAnsi="仿宋" w:eastAsia="仿宋_GB2312" w:cs="仿宋_GB2312"/>
          <w:b/>
          <w:bCs/>
          <w:sz w:val="32"/>
          <w:szCs w:val="32"/>
          <w:highlight w:val="none"/>
          <w:u w:val="none"/>
          <w:lang w:val="en-US" w:eastAsia="zh-CN"/>
        </w:rPr>
        <w:t>八</w:t>
      </w:r>
      <w:r>
        <w:rPr>
          <w:rFonts w:hint="eastAsia" w:ascii="仿宋" w:hAnsi="仿宋" w:eastAsia="仿宋_GB2312" w:cs="仿宋_GB2312"/>
          <w:b/>
          <w:bCs/>
          <w:sz w:val="32"/>
          <w:szCs w:val="32"/>
          <w:highlight w:val="none"/>
          <w:u w:val="none"/>
        </w:rPr>
        <w:t xml:space="preserve">条  </w:t>
      </w:r>
      <w:r>
        <w:rPr>
          <w:rFonts w:hint="eastAsia" w:ascii="仿宋" w:hAnsi="仿宋" w:eastAsia="仿宋_GB2312" w:cs="仿宋_GB2312"/>
          <w:sz w:val="32"/>
          <w:szCs w:val="32"/>
          <w:highlight w:val="none"/>
          <w:u w:val="none"/>
        </w:rPr>
        <w:t>每年从体育事业发展专项资金中安排不高于500万元用于</w:t>
      </w:r>
      <w:r>
        <w:rPr>
          <w:rFonts w:hint="eastAsia" w:ascii="仿宋" w:hAnsi="仿宋" w:eastAsia="仿宋_GB2312" w:cs="仿宋_GB2312"/>
          <w:b w:val="0"/>
          <w:bCs w:val="0"/>
          <w:sz w:val="32"/>
          <w:szCs w:val="32"/>
          <w:highlight w:val="none"/>
          <w:u w:val="none"/>
        </w:rPr>
        <w:t>省级区域发展中心</w:t>
      </w:r>
      <w:r>
        <w:rPr>
          <w:rFonts w:hint="eastAsia" w:ascii="仿宋" w:hAnsi="仿宋" w:eastAsia="仿宋_GB2312" w:cs="仿宋_GB2312"/>
          <w:sz w:val="32"/>
          <w:szCs w:val="32"/>
          <w:highlight w:val="none"/>
          <w:u w:val="none"/>
        </w:rPr>
        <w:t>开展相关工作。</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after="167" w:afterLines="50" w:line="58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第六章</w:t>
      </w:r>
      <w:bookmarkStart w:id="1" w:name="_Hlk152694890"/>
      <w:r>
        <w:rPr>
          <w:rFonts w:hint="eastAsia" w:ascii="黑体" w:hAnsi="黑体" w:eastAsia="黑体" w:cs="黑体"/>
          <w:sz w:val="32"/>
          <w:szCs w:val="32"/>
          <w:u w:val="none"/>
          <w:lang w:eastAsia="zh-CN"/>
        </w:rPr>
        <w:t>　</w:t>
      </w:r>
      <w:r>
        <w:rPr>
          <w:rFonts w:hint="eastAsia" w:ascii="黑体" w:hAnsi="黑体" w:eastAsia="黑体" w:cs="黑体"/>
          <w:sz w:val="32"/>
          <w:szCs w:val="32"/>
          <w:u w:val="none"/>
        </w:rPr>
        <w:t>高水平棒垒球赛事活动基地</w:t>
      </w:r>
      <w:bookmarkEnd w:id="1"/>
      <w:r>
        <w:rPr>
          <w:rFonts w:hint="eastAsia" w:ascii="黑体" w:hAnsi="黑体" w:eastAsia="黑体" w:cs="黑体"/>
          <w:sz w:val="32"/>
          <w:szCs w:val="32"/>
          <w:u w:val="none"/>
        </w:rPr>
        <w:t>职责</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第十九条</w:t>
      </w:r>
      <w:bookmarkStart w:id="2" w:name="_Hlk152696681"/>
      <w:r>
        <w:rPr>
          <w:rFonts w:hint="eastAsia" w:ascii="仿宋" w:hAnsi="仿宋" w:eastAsia="仿宋_GB2312" w:cs="仿宋_GB2312"/>
          <w:b/>
          <w:bCs/>
          <w:sz w:val="32"/>
          <w:szCs w:val="32"/>
          <w:highlight w:val="none"/>
          <w:u w:val="none"/>
        </w:rPr>
        <w:t> </w:t>
      </w:r>
      <w:bookmarkEnd w:id="2"/>
      <w:r>
        <w:rPr>
          <w:rFonts w:hint="eastAsia" w:ascii="仿宋" w:hAnsi="仿宋" w:eastAsia="仿宋_GB2312" w:cs="仿宋_GB2312"/>
          <w:b/>
          <w:bCs/>
          <w:sz w:val="32"/>
          <w:szCs w:val="32"/>
          <w:highlight w:val="none"/>
          <w:u w:val="none"/>
        </w:rPr>
        <w:t xml:space="preserve"> </w:t>
      </w:r>
      <w:r>
        <w:rPr>
          <w:rFonts w:hint="eastAsia" w:ascii="仿宋" w:hAnsi="仿宋" w:eastAsia="仿宋_GB2312" w:cs="仿宋_GB2312"/>
          <w:sz w:val="32"/>
          <w:szCs w:val="32"/>
          <w:highlight w:val="none"/>
          <w:u w:val="none"/>
        </w:rPr>
        <w:t>高水平棒垒球赛事活动基地由</w:t>
      </w:r>
      <w:r>
        <w:rPr>
          <w:rFonts w:hint="eastAsia" w:ascii="仿宋" w:hAnsi="仿宋" w:eastAsia="仿宋_GB2312" w:cs="仿宋_GB2312"/>
          <w:sz w:val="32"/>
          <w:szCs w:val="32"/>
          <w:highlight w:val="none"/>
          <w:u w:val="none"/>
          <w:lang w:val="en-US" w:eastAsia="zh-CN"/>
        </w:rPr>
        <w:t>福建省有关地方和</w:t>
      </w:r>
      <w:r>
        <w:rPr>
          <w:rFonts w:hint="eastAsia" w:ascii="仿宋" w:hAnsi="仿宋" w:eastAsia="仿宋_GB2312" w:cs="仿宋_GB2312"/>
          <w:sz w:val="32"/>
          <w:szCs w:val="32"/>
          <w:highlight w:val="none"/>
          <w:u w:val="none"/>
        </w:rPr>
        <w:t>高校承接建设，主要工作职责</w:t>
      </w:r>
      <w:r>
        <w:rPr>
          <w:rFonts w:hint="eastAsia" w:ascii="仿宋" w:hAnsi="仿宋" w:eastAsia="仿宋_GB2312" w:cs="仿宋_GB2312"/>
          <w:sz w:val="32"/>
          <w:szCs w:val="32"/>
          <w:highlight w:val="none"/>
          <w:u w:val="none"/>
          <w:lang w:val="en-US" w:eastAsia="zh-CN"/>
        </w:rPr>
        <w:t>是为闽台联合组队提供</w:t>
      </w:r>
      <w:r>
        <w:rPr>
          <w:rFonts w:hint="eastAsia" w:ascii="仿宋" w:hAnsi="仿宋" w:eastAsia="仿宋_GB2312" w:cs="仿宋_GB2312"/>
          <w:sz w:val="32"/>
          <w:szCs w:val="32"/>
          <w:highlight w:val="none"/>
          <w:u w:val="none"/>
        </w:rPr>
        <w:t>专业配套棒球场地、棒球器材等硬件设施，开展赛训工作；按标准提供符合反兴奋剂规定的、营养丰富均衡的伙食和干净整洁的宿舍，提供健全的医疗和康复条件，为运动员提供专项学业保障措施，做好队伍后勤工作。</w:t>
      </w:r>
    </w:p>
    <w:p>
      <w:pPr>
        <w:keepNext w:val="0"/>
        <w:keepLines w:val="0"/>
        <w:pageBreakBefore w:val="0"/>
        <w:widowControl w:val="0"/>
        <w:kinsoku/>
        <w:wordWrap/>
        <w:overflowPunct/>
        <w:topLinePunct w:val="0"/>
        <w:autoSpaceDE/>
        <w:autoSpaceDN/>
        <w:bidi w:val="0"/>
        <w:adjustRightInd/>
        <w:snapToGrid/>
        <w:spacing w:line="580" w:lineRule="exact"/>
        <w:ind w:firstLine="604" w:firstLineChars="200"/>
        <w:textAlignment w:val="auto"/>
        <w:rPr>
          <w:rFonts w:hint="eastAsia" w:ascii="仿宋" w:hAnsi="仿宋" w:eastAsia="仿宋_GB2312" w:cs="仿宋_GB2312"/>
          <w:b/>
          <w:bCs/>
          <w:sz w:val="32"/>
          <w:szCs w:val="32"/>
          <w:highlight w:val="none"/>
          <w:u w:val="none"/>
        </w:rPr>
      </w:pPr>
      <w:r>
        <w:rPr>
          <w:rFonts w:hint="eastAsia" w:ascii="仿宋" w:hAnsi="仿宋" w:eastAsia="仿宋_GB2312" w:cs="仿宋_GB2312"/>
          <w:b/>
          <w:bCs/>
          <w:sz w:val="32"/>
          <w:szCs w:val="32"/>
          <w:highlight w:val="none"/>
          <w:u w:val="none"/>
        </w:rPr>
        <w:t>第二十条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rPr>
        <w:t>省体育局每年安排专项资金支持</w:t>
      </w:r>
      <w:r>
        <w:rPr>
          <w:rFonts w:hint="eastAsia" w:ascii="仿宋" w:hAnsi="仿宋" w:eastAsia="仿宋_GB2312" w:cs="仿宋_GB2312"/>
          <w:sz w:val="32"/>
          <w:szCs w:val="32"/>
          <w:highlight w:val="none"/>
          <w:u w:val="none"/>
          <w:lang w:val="en-US" w:eastAsia="zh-CN"/>
        </w:rPr>
        <w:t>闽台联合组队及</w:t>
      </w:r>
      <w:r>
        <w:rPr>
          <w:rFonts w:hint="eastAsia" w:ascii="仿宋" w:hAnsi="仿宋" w:eastAsia="仿宋_GB2312" w:cs="仿宋_GB2312"/>
          <w:sz w:val="32"/>
          <w:szCs w:val="32"/>
          <w:highlight w:val="none"/>
          <w:u w:val="none"/>
        </w:rPr>
        <w:t>高水平棒垒球赛事活动基地建设，以签订共建协议的形式，明确双方权责，确保基地建设工作有序推进。</w:t>
      </w: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w:t>
      </w:r>
      <w:r>
        <w:rPr>
          <w:rFonts w:hint="eastAsia" w:ascii="黑体" w:hAnsi="黑体" w:eastAsia="黑体" w:cs="黑体"/>
          <w:sz w:val="32"/>
          <w:szCs w:val="32"/>
          <w:u w:val="none"/>
          <w:lang w:eastAsia="zh-CN"/>
        </w:rPr>
        <w:t>　</w:t>
      </w:r>
      <w:r>
        <w:rPr>
          <w:rFonts w:hint="eastAsia" w:ascii="黑体" w:hAnsi="黑体" w:eastAsia="黑体" w:cs="黑体"/>
          <w:sz w:val="32"/>
          <w:szCs w:val="32"/>
          <w:u w:val="none"/>
        </w:rPr>
        <w:t>部门工作职责</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第二十一条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rPr>
        <w:t>省体育局负责牵头完善区域发展中心扶持政策、建立工作机制、统筹推进落实；组织项目申报，提出年度补助资金分配方案、监督补助资金的使用。设置补助资金绩效目标，</w:t>
      </w:r>
      <w:bookmarkStart w:id="3" w:name="_Hlk147710473"/>
      <w:r>
        <w:rPr>
          <w:rFonts w:hint="eastAsia" w:ascii="仿宋" w:hAnsi="仿宋" w:eastAsia="仿宋_GB2312" w:cs="仿宋_GB2312"/>
          <w:sz w:val="32"/>
          <w:szCs w:val="32"/>
          <w:highlight w:val="none"/>
          <w:u w:val="none"/>
        </w:rPr>
        <w:t>开展绩效监控和绩效自评</w:t>
      </w:r>
      <w:bookmarkEnd w:id="3"/>
      <w:r>
        <w:rPr>
          <w:rFonts w:hint="eastAsia" w:ascii="仿宋" w:hAnsi="仿宋"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rPr>
        <w:t>省教育厅</w:t>
      </w:r>
      <w:r>
        <w:rPr>
          <w:rFonts w:hint="eastAsia" w:ascii="仿宋" w:hAnsi="仿宋" w:eastAsia="仿宋_GB2312" w:cs="仿宋_GB2312"/>
          <w:sz w:val="32"/>
          <w:szCs w:val="32"/>
          <w:highlight w:val="none"/>
          <w:u w:val="none"/>
          <w:lang w:val="en-US" w:eastAsia="zh-CN"/>
        </w:rPr>
        <w:t>指导市、县（区）教育局</w:t>
      </w:r>
      <w:r>
        <w:rPr>
          <w:rFonts w:hint="eastAsia" w:ascii="仿宋" w:hAnsi="仿宋" w:eastAsia="仿宋_GB2312" w:cs="仿宋_GB2312"/>
          <w:sz w:val="32"/>
          <w:szCs w:val="32"/>
          <w:highlight w:val="none"/>
          <w:u w:val="none"/>
        </w:rPr>
        <w:t>负责区域发展中心学校的项目</w:t>
      </w:r>
      <w:r>
        <w:rPr>
          <w:rFonts w:hint="eastAsia" w:ascii="仿宋" w:hAnsi="仿宋" w:eastAsia="仿宋_GB2312" w:cs="仿宋_GB2312"/>
          <w:sz w:val="32"/>
          <w:szCs w:val="32"/>
          <w:highlight w:val="none"/>
          <w:u w:val="none"/>
          <w:lang w:val="en-US" w:eastAsia="zh-CN"/>
        </w:rPr>
        <w:t>推广</w:t>
      </w:r>
      <w:r>
        <w:rPr>
          <w:rFonts w:hint="eastAsia" w:ascii="仿宋" w:hAnsi="仿宋" w:eastAsia="仿宋_GB2312" w:cs="仿宋_GB2312"/>
          <w:sz w:val="32"/>
          <w:szCs w:val="32"/>
          <w:highlight w:val="none"/>
          <w:u w:val="none"/>
        </w:rPr>
        <w:t>、</w:t>
      </w:r>
      <w:r>
        <w:rPr>
          <w:rFonts w:hint="eastAsia" w:ascii="仿宋" w:hAnsi="仿宋" w:eastAsia="仿宋_GB2312" w:cs="仿宋_GB2312"/>
          <w:sz w:val="32"/>
          <w:szCs w:val="32"/>
          <w:highlight w:val="none"/>
          <w:u w:val="none"/>
          <w:lang w:val="en-US" w:eastAsia="zh-CN"/>
        </w:rPr>
        <w:t>学生</w:t>
      </w:r>
      <w:r>
        <w:rPr>
          <w:rFonts w:hint="eastAsia" w:ascii="仿宋" w:hAnsi="仿宋" w:eastAsia="仿宋_GB2312" w:cs="仿宋_GB2312"/>
          <w:sz w:val="32"/>
          <w:szCs w:val="32"/>
          <w:highlight w:val="none"/>
          <w:u w:val="none"/>
        </w:rPr>
        <w:t>特长培养等扶持政策制定及工作要求下达，配合开展绩效监控和绩效自评。</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rPr>
        <w:t>省财政厅负责</w:t>
      </w:r>
      <w:r>
        <w:rPr>
          <w:rFonts w:hint="eastAsia" w:ascii="仿宋" w:hAnsi="仿宋" w:eastAsia="仿宋_GB2312" w:cs="仿宋_GB2312"/>
          <w:sz w:val="32"/>
          <w:szCs w:val="32"/>
          <w:highlight w:val="none"/>
          <w:u w:val="none"/>
          <w:lang w:val="en-US" w:eastAsia="zh-CN"/>
        </w:rPr>
        <w:t>组织专项资金支出预算的编制、执行和绩效管理工作</w:t>
      </w:r>
      <w:r>
        <w:rPr>
          <w:rFonts w:hint="eastAsia" w:ascii="仿宋" w:hAnsi="仿宋"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rPr>
        <w:t>省台办负责整合对台工作资源，对涉台政策措施、宣传报道及相关活动组织提出指导意见。</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第二十二条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lang w:val="en-US" w:eastAsia="zh-CN"/>
        </w:rPr>
        <w:t>区域发展中心成立领导小组或</w:t>
      </w:r>
      <w:r>
        <w:rPr>
          <w:rFonts w:hint="eastAsia" w:ascii="仿宋" w:hAnsi="仿宋" w:eastAsia="仿宋_GB2312" w:cs="仿宋_GB2312"/>
          <w:sz w:val="32"/>
          <w:szCs w:val="32"/>
          <w:highlight w:val="none"/>
          <w:u w:val="none"/>
        </w:rPr>
        <w:t>工作专班，设立办公室，负责牵头推进本辖区</w:t>
      </w:r>
      <w:r>
        <w:rPr>
          <w:rFonts w:hint="eastAsia" w:ascii="仿宋" w:hAnsi="仿宋" w:eastAsia="仿宋_GB2312" w:cs="仿宋_GB2312"/>
          <w:sz w:val="32"/>
          <w:szCs w:val="32"/>
          <w:highlight w:val="none"/>
          <w:u w:val="none"/>
          <w:lang w:val="en-US" w:eastAsia="zh-CN"/>
        </w:rPr>
        <w:t>的创建</w:t>
      </w:r>
      <w:r>
        <w:rPr>
          <w:rFonts w:hint="eastAsia" w:ascii="仿宋" w:hAnsi="仿宋" w:eastAsia="仿宋_GB2312" w:cs="仿宋_GB2312"/>
          <w:sz w:val="32"/>
          <w:szCs w:val="32"/>
          <w:highlight w:val="none"/>
          <w:u w:val="none"/>
        </w:rPr>
        <w:t>工作，拟定配套政策措施、指导监督执行单位按要求开展建设工作、帮助协调困难问题、开展成效评价；及时拨付中心</w:t>
      </w:r>
      <w:r>
        <w:rPr>
          <w:rFonts w:hint="eastAsia" w:ascii="仿宋" w:hAnsi="仿宋" w:eastAsia="仿宋_GB2312" w:cs="仿宋_GB2312"/>
          <w:sz w:val="32"/>
          <w:szCs w:val="32"/>
          <w:highlight w:val="none"/>
          <w:u w:val="none"/>
          <w:lang w:val="en-US" w:eastAsia="zh-CN"/>
        </w:rPr>
        <w:t>创建</w:t>
      </w:r>
      <w:r>
        <w:rPr>
          <w:rFonts w:hint="eastAsia" w:ascii="仿宋" w:hAnsi="仿宋" w:eastAsia="仿宋_GB2312" w:cs="仿宋_GB2312"/>
          <w:sz w:val="32"/>
          <w:szCs w:val="32"/>
          <w:highlight w:val="none"/>
          <w:u w:val="none"/>
        </w:rPr>
        <w:t>费用，对资金使用情况进行监督，开展全过程预算绩效管理。</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教育部门负责联动学校的选取工作和棒垒球运动项目普及、</w:t>
      </w:r>
      <w:r>
        <w:rPr>
          <w:rFonts w:hint="eastAsia" w:ascii="仿宋" w:hAnsi="仿宋" w:eastAsia="仿宋_GB2312" w:cs="仿宋_GB2312"/>
          <w:sz w:val="32"/>
          <w:szCs w:val="32"/>
          <w:highlight w:val="none"/>
          <w:u w:val="none"/>
          <w:lang w:val="en-US" w:eastAsia="zh-CN"/>
        </w:rPr>
        <w:t>学生特长</w:t>
      </w:r>
      <w:r>
        <w:rPr>
          <w:rFonts w:hint="eastAsia" w:ascii="仿宋" w:hAnsi="仿宋" w:eastAsia="仿宋_GB2312" w:cs="仿宋_GB2312"/>
          <w:sz w:val="32"/>
          <w:szCs w:val="32"/>
          <w:highlight w:val="none"/>
          <w:u w:val="none"/>
        </w:rPr>
        <w:t>培养等扶持政策落实。</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体育部门、教育</w:t>
      </w:r>
      <w:r>
        <w:rPr>
          <w:rFonts w:hint="eastAsia" w:ascii="仿宋" w:hAnsi="仿宋" w:eastAsia="仿宋_GB2312" w:cs="仿宋_GB2312"/>
          <w:sz w:val="32"/>
          <w:szCs w:val="32"/>
          <w:highlight w:val="none"/>
          <w:u w:val="none"/>
          <w:lang w:val="en-US" w:eastAsia="zh-CN"/>
        </w:rPr>
        <w:t>等</w:t>
      </w:r>
      <w:r>
        <w:rPr>
          <w:rFonts w:hint="eastAsia" w:ascii="仿宋" w:hAnsi="仿宋" w:eastAsia="仿宋_GB2312" w:cs="仿宋_GB2312"/>
          <w:sz w:val="32"/>
          <w:szCs w:val="32"/>
          <w:highlight w:val="none"/>
          <w:u w:val="none"/>
        </w:rPr>
        <w:t>部门审核申报年度补助项目；根据工作需要，</w:t>
      </w: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财政部门</w:t>
      </w:r>
      <w:r>
        <w:rPr>
          <w:rFonts w:hint="eastAsia" w:ascii="仿宋" w:hAnsi="仿宋" w:eastAsia="仿宋_GB2312" w:cs="仿宋_GB2312"/>
          <w:sz w:val="32"/>
          <w:szCs w:val="32"/>
          <w:highlight w:val="none"/>
          <w:u w:val="none"/>
          <w:lang w:val="en-US" w:eastAsia="zh-CN"/>
        </w:rPr>
        <w:t>会同体育、教育部门</w:t>
      </w:r>
      <w:r>
        <w:rPr>
          <w:rFonts w:hint="eastAsia" w:ascii="仿宋" w:hAnsi="仿宋" w:eastAsia="仿宋_GB2312" w:cs="仿宋_GB2312"/>
          <w:sz w:val="32"/>
          <w:szCs w:val="32"/>
          <w:highlight w:val="none"/>
          <w:u w:val="none"/>
        </w:rPr>
        <w:t>开展</w:t>
      </w:r>
      <w:r>
        <w:rPr>
          <w:rFonts w:hint="eastAsia" w:ascii="仿宋" w:hAnsi="仿宋" w:eastAsia="仿宋_GB2312" w:cs="仿宋_GB2312"/>
          <w:sz w:val="32"/>
          <w:szCs w:val="32"/>
          <w:highlight w:val="none"/>
          <w:u w:val="none"/>
          <w:lang w:val="en-US" w:eastAsia="zh-CN"/>
        </w:rPr>
        <w:t>绩效评价</w:t>
      </w:r>
      <w:r>
        <w:rPr>
          <w:rFonts w:hint="eastAsia" w:ascii="仿宋" w:hAnsi="仿宋"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台港澳部门负责整合本辖区对台工作资源，完善台湾专业人才引进、住房保障、子女就学、社保医疗及闽台交流活动等配套措施，支持区域发展中心</w:t>
      </w:r>
      <w:r>
        <w:rPr>
          <w:rFonts w:hint="eastAsia" w:ascii="仿宋" w:hAnsi="仿宋" w:eastAsia="仿宋_GB2312" w:cs="仿宋_GB2312"/>
          <w:sz w:val="32"/>
          <w:szCs w:val="32"/>
          <w:highlight w:val="none"/>
          <w:u w:val="none"/>
          <w:lang w:val="en-US" w:eastAsia="zh-CN"/>
        </w:rPr>
        <w:t>创建</w:t>
      </w:r>
      <w:r>
        <w:rPr>
          <w:rFonts w:hint="eastAsia" w:ascii="仿宋" w:hAnsi="仿宋"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第二十三条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rPr>
        <w:t>鼓励有条件的</w:t>
      </w: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积极筹措财政和社会各方资金，提升区域发展中心建设规模与质量，引入更多的台湾棒垒球专业人才来闽就业，助力福建省棒垒球运动快速发展，深化两岸棒垒球融合发展。</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hint="eastAsia" w:ascii="仿宋" w:hAnsi="仿宋"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after="167" w:afterLines="50" w:line="56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第八章</w:t>
      </w:r>
      <w:r>
        <w:rPr>
          <w:rFonts w:hint="eastAsia" w:ascii="黑体" w:hAnsi="黑体" w:eastAsia="黑体" w:cs="黑体"/>
          <w:sz w:val="32"/>
          <w:szCs w:val="32"/>
          <w:u w:val="none"/>
          <w:lang w:eastAsia="zh-CN"/>
        </w:rPr>
        <w:t>　</w:t>
      </w:r>
      <w:r>
        <w:rPr>
          <w:rFonts w:hint="eastAsia" w:ascii="黑体" w:hAnsi="黑体" w:eastAsia="黑体" w:cs="黑体"/>
          <w:sz w:val="32"/>
          <w:szCs w:val="32"/>
          <w:u w:val="none"/>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第二十四条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rPr>
        <w:t>建立省级联席会议制度，定期研究推动</w:t>
      </w:r>
      <w:bookmarkStart w:id="4" w:name="_Hlk147715763"/>
      <w:r>
        <w:rPr>
          <w:rFonts w:hint="eastAsia" w:ascii="仿宋" w:hAnsi="仿宋" w:eastAsia="仿宋_GB2312" w:cs="仿宋_GB2312"/>
          <w:sz w:val="32"/>
          <w:szCs w:val="32"/>
          <w:highlight w:val="none"/>
          <w:u w:val="none"/>
        </w:rPr>
        <w:t>区域发展中心</w:t>
      </w:r>
      <w:r>
        <w:rPr>
          <w:rFonts w:hint="eastAsia" w:ascii="仿宋" w:hAnsi="仿宋" w:eastAsia="仿宋_GB2312" w:cs="仿宋_GB2312"/>
          <w:sz w:val="32"/>
          <w:szCs w:val="32"/>
          <w:highlight w:val="none"/>
          <w:u w:val="none"/>
          <w:lang w:val="en-US" w:eastAsia="zh-CN"/>
        </w:rPr>
        <w:t>创建</w:t>
      </w:r>
      <w:r>
        <w:rPr>
          <w:rFonts w:hint="eastAsia" w:ascii="仿宋" w:hAnsi="仿宋" w:eastAsia="仿宋_GB2312" w:cs="仿宋_GB2312"/>
          <w:sz w:val="32"/>
          <w:szCs w:val="32"/>
          <w:highlight w:val="none"/>
          <w:u w:val="none"/>
        </w:rPr>
        <w:t>工作</w:t>
      </w:r>
      <w:bookmarkEnd w:id="4"/>
      <w:r>
        <w:rPr>
          <w:rFonts w:hint="eastAsia" w:ascii="仿宋" w:hAnsi="仿宋" w:eastAsia="仿宋_GB2312" w:cs="仿宋_GB2312"/>
          <w:sz w:val="32"/>
          <w:szCs w:val="32"/>
          <w:highlight w:val="none"/>
          <w:u w:val="none"/>
        </w:rPr>
        <w:t>，开展区域发展中心考核工作。</w:t>
      </w:r>
      <w:r>
        <w:rPr>
          <w:rFonts w:hint="eastAsia" w:ascii="仿宋" w:hAnsi="仿宋" w:eastAsia="仿宋_GB2312" w:cs="仿宋_GB2312"/>
          <w:sz w:val="32"/>
          <w:szCs w:val="32"/>
          <w:highlight w:val="none"/>
          <w:u w:val="none"/>
          <w:lang w:val="en-US" w:eastAsia="zh-CN"/>
        </w:rPr>
        <w:t>市级区域发展中心相</w:t>
      </w:r>
      <w:r>
        <w:rPr>
          <w:rFonts w:hint="eastAsia" w:ascii="仿宋" w:hAnsi="仿宋" w:eastAsia="仿宋_GB2312" w:cs="仿宋_GB2312"/>
          <w:sz w:val="32"/>
          <w:szCs w:val="32"/>
          <w:highlight w:val="none"/>
          <w:u w:val="none"/>
        </w:rPr>
        <w:t>应</w:t>
      </w:r>
      <w:r>
        <w:rPr>
          <w:rFonts w:hint="eastAsia" w:ascii="仿宋" w:hAnsi="仿宋" w:eastAsia="仿宋_GB2312" w:cs="仿宋_GB2312"/>
          <w:sz w:val="32"/>
          <w:szCs w:val="32"/>
          <w:highlight w:val="none"/>
          <w:u w:val="none"/>
          <w:lang w:val="en-US" w:eastAsia="zh-CN"/>
        </w:rPr>
        <w:t>建立</w:t>
      </w:r>
      <w:r>
        <w:rPr>
          <w:rFonts w:hint="eastAsia" w:ascii="仿宋" w:hAnsi="仿宋" w:eastAsia="仿宋_GB2312" w:cs="仿宋_GB2312"/>
          <w:sz w:val="32"/>
          <w:szCs w:val="32"/>
          <w:highlight w:val="none"/>
          <w:u w:val="none"/>
        </w:rPr>
        <w:t>联席会议工作机制，充分调动各方面的积极性，做好区域发展中心</w:t>
      </w:r>
      <w:r>
        <w:rPr>
          <w:rFonts w:hint="eastAsia" w:ascii="仿宋" w:hAnsi="仿宋" w:eastAsia="仿宋_GB2312" w:cs="仿宋_GB2312"/>
          <w:sz w:val="32"/>
          <w:szCs w:val="32"/>
          <w:highlight w:val="none"/>
          <w:u w:val="none"/>
          <w:lang w:val="en-US" w:eastAsia="zh-CN"/>
        </w:rPr>
        <w:t>创建</w:t>
      </w:r>
      <w:r>
        <w:rPr>
          <w:rFonts w:hint="eastAsia" w:ascii="仿宋" w:hAnsi="仿宋" w:eastAsia="仿宋_GB2312" w:cs="仿宋_GB2312"/>
          <w:sz w:val="32"/>
          <w:szCs w:val="32"/>
          <w:highlight w:val="none"/>
          <w:u w:val="none"/>
        </w:rPr>
        <w:t>工作，及时收集、解决存在问题。</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第二十五条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b w:val="0"/>
          <w:bCs w:val="0"/>
          <w:sz w:val="32"/>
          <w:szCs w:val="32"/>
          <w:highlight w:val="none"/>
          <w:u w:val="none"/>
          <w:lang w:val="en-US" w:eastAsia="zh-CN"/>
        </w:rPr>
        <w:t>区域发展中心</w:t>
      </w:r>
      <w:r>
        <w:rPr>
          <w:rFonts w:hint="eastAsia" w:ascii="仿宋" w:hAnsi="仿宋" w:eastAsia="仿宋_GB2312" w:cs="仿宋_GB2312"/>
          <w:sz w:val="32"/>
          <w:szCs w:val="32"/>
          <w:highlight w:val="none"/>
          <w:u w:val="none"/>
        </w:rPr>
        <w:t>财政补助资金应按程序及时下达、及时拨付，任何单位不得截留、挤占和挪用，确保资金专款专用。存在补助资金滞留且未整改到位</w:t>
      </w:r>
      <w:r>
        <w:rPr>
          <w:rFonts w:hint="eastAsia" w:ascii="仿宋" w:hAnsi="仿宋" w:eastAsia="仿宋_GB2312" w:cs="仿宋_GB2312"/>
          <w:sz w:val="32"/>
          <w:szCs w:val="32"/>
          <w:highlight w:val="none"/>
          <w:u w:val="none"/>
          <w:lang w:eastAsia="zh-CN"/>
        </w:rPr>
        <w:t>、</w:t>
      </w:r>
      <w:r>
        <w:rPr>
          <w:rFonts w:hint="eastAsia" w:ascii="仿宋" w:hAnsi="仿宋" w:eastAsia="仿宋_GB2312" w:cs="仿宋_GB2312"/>
          <w:sz w:val="32"/>
          <w:szCs w:val="32"/>
          <w:highlight w:val="none"/>
          <w:u w:val="none"/>
          <w:lang w:val="en-US" w:eastAsia="zh-CN"/>
        </w:rPr>
        <w:t>使用绩效不好</w:t>
      </w:r>
      <w:r>
        <w:rPr>
          <w:rFonts w:hint="eastAsia" w:ascii="仿宋" w:hAnsi="仿宋" w:eastAsia="仿宋_GB2312" w:cs="仿宋_GB2312"/>
          <w:sz w:val="32"/>
          <w:szCs w:val="32"/>
          <w:highlight w:val="none"/>
          <w:u w:val="none"/>
        </w:rPr>
        <w:t>的</w:t>
      </w: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，不得申报新的财政补助资金。支持市级、县级财政安排一定比例的体彩公益金，用于棒垒球运动普及发展和区域发展中心</w:t>
      </w:r>
      <w:r>
        <w:rPr>
          <w:rFonts w:hint="eastAsia" w:ascii="仿宋" w:hAnsi="仿宋" w:eastAsia="仿宋_GB2312" w:cs="仿宋_GB2312"/>
          <w:sz w:val="32"/>
          <w:szCs w:val="32"/>
          <w:highlight w:val="none"/>
          <w:u w:val="none"/>
          <w:lang w:val="en-US" w:eastAsia="zh-CN"/>
        </w:rPr>
        <w:t>创建</w:t>
      </w:r>
      <w:r>
        <w:rPr>
          <w:rFonts w:hint="eastAsia" w:ascii="仿宋" w:hAnsi="仿宋"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highlight w:val="none"/>
          <w:u w:val="none"/>
        </w:rPr>
      </w:pPr>
      <w:r>
        <w:rPr>
          <w:rFonts w:hint="eastAsia" w:ascii="仿宋" w:hAnsi="仿宋" w:eastAsia="仿宋_GB2312" w:cs="仿宋_GB2312"/>
          <w:b/>
          <w:bCs/>
          <w:sz w:val="32"/>
          <w:szCs w:val="32"/>
          <w:highlight w:val="none"/>
          <w:u w:val="none"/>
        </w:rPr>
        <w:t>第二十六条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lang w:eastAsia="zh-CN"/>
        </w:rPr>
        <w:t>市、县（区）</w:t>
      </w:r>
      <w:r>
        <w:rPr>
          <w:rFonts w:hint="eastAsia" w:ascii="仿宋" w:hAnsi="仿宋" w:eastAsia="仿宋_GB2312" w:cs="仿宋_GB2312"/>
          <w:sz w:val="32"/>
          <w:szCs w:val="32"/>
          <w:highlight w:val="none"/>
          <w:u w:val="none"/>
        </w:rPr>
        <w:t>要认真落实政府采购政策，不得随意限制采购人依法选择采购方式，也不得随意否认采购结果或擅自变更、中止、终止采购合同，损害供应商合法权益，影响项目实施效率。</w:t>
      </w:r>
      <w:r>
        <w:rPr>
          <w:rFonts w:hint="eastAsia" w:ascii="仿宋" w:hAnsi="仿宋" w:eastAsia="仿宋_GB2312" w:cs="仿宋_GB2312"/>
          <w:sz w:val="32"/>
          <w:szCs w:val="32"/>
          <w:highlight w:val="none"/>
          <w:u w:val="none"/>
          <w:lang w:val="en-US" w:eastAsia="zh-CN"/>
        </w:rPr>
        <w:t>各区域发展中心</w:t>
      </w:r>
      <w:r>
        <w:rPr>
          <w:rFonts w:hint="eastAsia" w:ascii="仿宋" w:hAnsi="仿宋" w:eastAsia="仿宋_GB2312" w:cs="仿宋_GB2312"/>
          <w:sz w:val="32"/>
          <w:szCs w:val="32"/>
          <w:highlight w:val="none"/>
          <w:u w:val="none"/>
        </w:rPr>
        <w:t>应加强履约意识，严禁克扣台胞薪资、拖</w:t>
      </w:r>
      <w:r>
        <w:rPr>
          <w:rFonts w:hint="eastAsia" w:ascii="仿宋" w:hAnsi="仿宋" w:eastAsia="仿宋_GB2312" w:cs="仿宋_GB2312"/>
          <w:sz w:val="32"/>
          <w:szCs w:val="32"/>
          <w:highlight w:val="none"/>
          <w:u w:val="none"/>
          <w:lang w:val="en-US" w:eastAsia="zh-CN"/>
        </w:rPr>
        <w:t>欠</w:t>
      </w:r>
      <w:r>
        <w:rPr>
          <w:rFonts w:hint="eastAsia" w:ascii="仿宋" w:hAnsi="仿宋" w:eastAsia="仿宋_GB2312" w:cs="仿宋_GB2312"/>
          <w:sz w:val="32"/>
          <w:szCs w:val="32"/>
          <w:highlight w:val="none"/>
          <w:u w:val="none"/>
        </w:rPr>
        <w:t>款项等，持续营造有利于闽台棒垒球合作</w:t>
      </w:r>
      <w:r>
        <w:rPr>
          <w:rFonts w:hint="eastAsia" w:ascii="仿宋" w:hAnsi="仿宋" w:eastAsia="仿宋_GB2312" w:cs="仿宋_GB2312"/>
          <w:sz w:val="32"/>
          <w:szCs w:val="32"/>
          <w:highlight w:val="none"/>
          <w:u w:val="none"/>
          <w:lang w:eastAsia="zh-CN"/>
        </w:rPr>
        <w:t>、</w:t>
      </w:r>
      <w:r>
        <w:rPr>
          <w:rFonts w:hint="eastAsia" w:ascii="仿宋" w:hAnsi="仿宋" w:eastAsia="仿宋_GB2312" w:cs="仿宋_GB2312"/>
          <w:sz w:val="32"/>
          <w:szCs w:val="32"/>
          <w:highlight w:val="none"/>
          <w:u w:val="none"/>
        </w:rPr>
        <w:t>促进两岸融合发展的良好环境。</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04" w:firstLineChars="200"/>
        <w:textAlignment w:val="auto"/>
        <w:rPr>
          <w:rFonts w:ascii="仿宋" w:hAnsi="仿宋" w:eastAsia="仿宋_GB2312" w:cs="仿宋_GB2312"/>
          <w:sz w:val="32"/>
          <w:szCs w:val="32"/>
          <w:u w:val="none"/>
        </w:rPr>
      </w:pPr>
      <w:r>
        <w:rPr>
          <w:rFonts w:hint="eastAsia" w:ascii="仿宋" w:hAnsi="仿宋" w:eastAsia="仿宋_GB2312" w:cs="仿宋_GB2312"/>
          <w:b/>
          <w:bCs/>
          <w:sz w:val="32"/>
          <w:szCs w:val="32"/>
          <w:highlight w:val="none"/>
          <w:u w:val="none"/>
        </w:rPr>
        <w:t>第二十七条</w:t>
      </w:r>
      <w:r>
        <w:rPr>
          <w:rFonts w:hint="eastAsia" w:ascii="仿宋" w:hAnsi="仿宋" w:eastAsia="仿宋_GB2312" w:cs="仿宋_GB2312"/>
          <w:b/>
          <w:bCs/>
          <w:sz w:val="32"/>
          <w:szCs w:val="32"/>
          <w:highlight w:val="none"/>
          <w:u w:val="none"/>
          <w:lang w:eastAsia="zh-CN"/>
        </w:rPr>
        <w:t>　</w:t>
      </w:r>
      <w:r>
        <w:rPr>
          <w:rFonts w:hint="eastAsia" w:ascii="仿宋" w:hAnsi="仿宋" w:eastAsia="仿宋_GB2312" w:cs="仿宋_GB2312"/>
          <w:sz w:val="32"/>
          <w:szCs w:val="32"/>
          <w:highlight w:val="none"/>
          <w:u w:val="none"/>
        </w:rPr>
        <w:t>本办法自公布之日起施行，有效期五年。</w:t>
      </w:r>
    </w:p>
    <w:p>
      <w:pPr>
        <w:rPr>
          <w:u w:val="none"/>
        </w:rPr>
      </w:pPr>
    </w:p>
    <w:sectPr>
      <w:headerReference r:id="rId3" w:type="default"/>
      <w:footerReference r:id="rId4" w:type="default"/>
      <w:pgSz w:w="11906" w:h="16838"/>
      <w:pgMar w:top="1440" w:right="1531" w:bottom="1440" w:left="1531" w:header="851" w:footer="992" w:gutter="0"/>
      <w:pgNumType w:fmt="decimal"/>
      <w:cols w:space="0" w:num="1"/>
      <w:rtlGutter w:val="0"/>
      <w:docGrid w:type="linesAndChars" w:linePitch="332" w:charSpace="-3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11"/>
  <w:drawingGridVerticalSpacing w:val="166"/>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JlYmU5NDlmZDI1YWJiM2VlMjhjNTlmZmQ2ODUifQ=="/>
  </w:docVars>
  <w:rsids>
    <w:rsidRoot w:val="0F8E365D"/>
    <w:rsid w:val="04BA2C90"/>
    <w:rsid w:val="04CB21E9"/>
    <w:rsid w:val="051B7ECF"/>
    <w:rsid w:val="0F8E365D"/>
    <w:rsid w:val="1D120A35"/>
    <w:rsid w:val="1D2B2695"/>
    <w:rsid w:val="1DD4266F"/>
    <w:rsid w:val="22B73F44"/>
    <w:rsid w:val="2B2B4ECF"/>
    <w:rsid w:val="2E085A38"/>
    <w:rsid w:val="33B671BD"/>
    <w:rsid w:val="351D530F"/>
    <w:rsid w:val="40E63BAA"/>
    <w:rsid w:val="426425B1"/>
    <w:rsid w:val="456E6AAF"/>
    <w:rsid w:val="47A41C0B"/>
    <w:rsid w:val="47A5361B"/>
    <w:rsid w:val="4D9257FD"/>
    <w:rsid w:val="54CB1DDD"/>
    <w:rsid w:val="5712685F"/>
    <w:rsid w:val="5B630705"/>
    <w:rsid w:val="5DF62A7D"/>
    <w:rsid w:val="601F7EAF"/>
    <w:rsid w:val="622E4BEF"/>
    <w:rsid w:val="647554B5"/>
    <w:rsid w:val="66585593"/>
    <w:rsid w:val="71752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val="0"/>
      <w:keepLines w:val="0"/>
      <w:spacing w:before="340" w:beforeLines="0" w:beforeAutospacing="0" w:after="330" w:afterLines="0" w:afterAutospacing="0" w:line="600" w:lineRule="exact"/>
      <w:jc w:val="center"/>
      <w:outlineLvl w:val="0"/>
    </w:pPr>
    <w:rPr>
      <w:rFonts w:ascii="Calibri" w:hAnsi="Calibri" w:eastAsia="方正小标宋简体" w:cs="Times New Roman"/>
      <w:kern w:val="44"/>
      <w:sz w:val="44"/>
      <w:szCs w:val="22"/>
    </w:rPr>
  </w:style>
  <w:style w:type="paragraph" w:styleId="3">
    <w:name w:val="heading 4"/>
    <w:basedOn w:val="1"/>
    <w:next w:val="1"/>
    <w:link w:val="12"/>
    <w:autoRedefine/>
    <w:semiHidden/>
    <w:unhideWhenUsed/>
    <w:qFormat/>
    <w:uiPriority w:val="0"/>
    <w:pPr>
      <w:keepNext/>
      <w:keepLines/>
      <w:spacing w:before="280" w:beforeLines="0" w:beforeAutospacing="0" w:after="290" w:afterLines="0" w:afterAutospacing="0" w:line="372" w:lineRule="auto"/>
      <w:outlineLvl w:val="3"/>
    </w:pPr>
    <w:rPr>
      <w:rFonts w:ascii="黑体" w:hAnsi="黑体" w:eastAsia="黑体" w:cs="黑体"/>
      <w:snapToGrid/>
      <w:color w:val="000000"/>
      <w:kern w:val="21"/>
      <w:sz w:val="32"/>
      <w:szCs w:val="21"/>
      <w:lang w:eastAsia="en-US"/>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autoRedefine/>
    <w:qFormat/>
    <w:uiPriority w:val="0"/>
    <w:pPr>
      <w:ind w:firstLine="420" w:firstLineChars="100"/>
    </w:pPr>
    <w:rPr>
      <w:rFonts w:ascii="Calibri" w:hAnsi="Calibri"/>
      <w:kern w:val="0"/>
      <w:sz w:val="20"/>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next w:val="1"/>
    <w:autoRedefine/>
    <w:qFormat/>
    <w:uiPriority w:val="0"/>
    <w:pPr>
      <w:spacing w:line="600" w:lineRule="exact"/>
      <w:jc w:val="center"/>
      <w:outlineLvl w:val="0"/>
    </w:pPr>
    <w:rPr>
      <w:rFonts w:hint="eastAsia" w:ascii="宋体" w:hAnsi="宋体" w:eastAsia="方正小标宋简体" w:cs="宋体"/>
      <w:bCs/>
      <w:kern w:val="44"/>
      <w:sz w:val="44"/>
      <w:szCs w:val="48"/>
      <w:lang w:bidi="ar"/>
    </w:rPr>
  </w:style>
  <w:style w:type="character" w:customStyle="1" w:styleId="12">
    <w:name w:val="标题 4 Char"/>
    <w:link w:val="3"/>
    <w:autoRedefine/>
    <w:qFormat/>
    <w:uiPriority w:val="0"/>
    <w:rPr>
      <w:rFonts w:ascii="黑体" w:hAnsi="黑体" w:eastAsia="黑体" w:cs="黑体"/>
      <w:snapToGrid/>
      <w:color w:val="000000"/>
      <w:kern w:val="21"/>
      <w:sz w:val="32"/>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4599</Words>
  <Characters>4635</Characters>
  <Lines>0</Lines>
  <Paragraphs>0</Paragraphs>
  <TotalTime>27</TotalTime>
  <ScaleCrop>false</ScaleCrop>
  <LinksUpToDate>false</LinksUpToDate>
  <CharactersWithSpaces>4711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2024-01-12T03:25:00Z</dcterms:created>
  <dc:creator>迈阿密的寒冷</dc:creator>
  <cp:lastModifiedBy>迈阿密的寒冷</cp:lastModifiedBy>
  <cp:lastPrinted>2024-01-12T09:42:00Z</cp:lastPrinted>
  <dcterms:modified xsi:type="dcterms:W3CDTF">2024-01-16T04:54:24Z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95DA1A46C542420A930F866A7067D4C9_11</vt:lpwstr>
  </property>
</Properties>
</file>